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7E822" w14:textId="5FD96C6D" w:rsidR="005E29D9" w:rsidRPr="00526FBD" w:rsidRDefault="002134E6" w:rsidP="005E29D9">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#95</w:t>
      </w:r>
      <w:r w:rsidR="005E29D9">
        <w:rPr>
          <w:rFonts w:ascii="Arial" w:hAnsi="Arial" w:cs="Arial"/>
          <w:b/>
          <w:sz w:val="24"/>
          <w:szCs w:val="28"/>
        </w:rPr>
        <w:t>-e</w:t>
      </w:r>
      <w:r w:rsidR="005E29D9" w:rsidRPr="00526FBD">
        <w:rPr>
          <w:rFonts w:ascii="Arial" w:hAnsi="Arial" w:cs="Arial"/>
          <w:b/>
          <w:sz w:val="24"/>
          <w:szCs w:val="28"/>
        </w:rPr>
        <w:tab/>
      </w:r>
      <w:r w:rsidR="005E29D9" w:rsidRPr="00526FBD">
        <w:rPr>
          <w:rFonts w:ascii="Arial" w:hAnsi="Arial" w:cs="Arial"/>
          <w:b/>
          <w:sz w:val="24"/>
          <w:szCs w:val="28"/>
        </w:rPr>
        <w:tab/>
      </w:r>
      <w:r w:rsidR="005E29D9" w:rsidRPr="00526FBD">
        <w:rPr>
          <w:rFonts w:ascii="Arial" w:hAnsi="Arial" w:cs="Arial"/>
          <w:b/>
          <w:sz w:val="24"/>
          <w:szCs w:val="28"/>
        </w:rPr>
        <w:tab/>
      </w:r>
      <w:r w:rsidR="005E29D9" w:rsidRPr="00526FBD">
        <w:rPr>
          <w:rFonts w:ascii="Arial" w:hAnsi="Arial" w:cs="Arial"/>
          <w:b/>
          <w:sz w:val="24"/>
          <w:szCs w:val="28"/>
        </w:rPr>
        <w:tab/>
      </w:r>
      <w:r w:rsidR="005E29D9" w:rsidRPr="00526FBD">
        <w:rPr>
          <w:rFonts w:ascii="Arial" w:hAnsi="Arial" w:cs="Arial"/>
          <w:b/>
          <w:sz w:val="24"/>
          <w:szCs w:val="28"/>
        </w:rPr>
        <w:tab/>
      </w:r>
      <w:r w:rsidR="005E29D9">
        <w:rPr>
          <w:rFonts w:ascii="Arial" w:hAnsi="Arial" w:cs="Arial" w:hint="eastAsia"/>
          <w:b/>
          <w:sz w:val="24"/>
          <w:szCs w:val="28"/>
        </w:rPr>
        <w:tab/>
      </w:r>
      <w:r w:rsidR="005E29D9">
        <w:rPr>
          <w:rFonts w:ascii="Arial" w:hAnsi="Arial" w:cs="Arial" w:hint="eastAsia"/>
          <w:b/>
          <w:sz w:val="24"/>
          <w:szCs w:val="28"/>
        </w:rPr>
        <w:tab/>
      </w:r>
      <w:r w:rsidR="005E29D9">
        <w:rPr>
          <w:rFonts w:ascii="Arial" w:hAnsi="Arial" w:cs="Arial"/>
          <w:b/>
          <w:sz w:val="24"/>
          <w:szCs w:val="28"/>
        </w:rPr>
        <w:tab/>
      </w:r>
      <w:r w:rsidR="005E29D9" w:rsidRPr="00526FBD">
        <w:rPr>
          <w:rFonts w:ascii="Arial" w:hAnsi="Arial" w:cs="Arial"/>
          <w:b/>
          <w:sz w:val="24"/>
          <w:szCs w:val="28"/>
        </w:rPr>
        <w:t>RP-</w:t>
      </w:r>
      <w:r w:rsidR="00EE045F">
        <w:rPr>
          <w:rFonts w:ascii="Arial" w:hAnsi="Arial" w:cs="Arial"/>
          <w:b/>
          <w:sz w:val="24"/>
          <w:szCs w:val="28"/>
        </w:rPr>
        <w:t>22</w:t>
      </w:r>
      <w:r w:rsidR="00430CD2">
        <w:rPr>
          <w:rFonts w:ascii="Arial" w:hAnsi="Arial" w:cs="Arial"/>
          <w:b/>
          <w:sz w:val="24"/>
          <w:szCs w:val="28"/>
        </w:rPr>
        <w:t>0802</w:t>
      </w:r>
    </w:p>
    <w:p w14:paraId="2C115398" w14:textId="54ACD449" w:rsidR="00CB40E6" w:rsidRPr="004B3C92" w:rsidRDefault="005E29D9" w:rsidP="00162C49">
      <w:pPr>
        <w:tabs>
          <w:tab w:val="left" w:pos="567"/>
        </w:tabs>
        <w:snapToGrid w:val="0"/>
        <w:spacing w:after="0"/>
        <w:rPr>
          <w:rFonts w:ascii="Arial" w:hAnsi="Arial" w:cs="Arial"/>
          <w:b/>
          <w:color w:val="0070C0"/>
          <w:sz w:val="28"/>
          <w:szCs w:val="28"/>
        </w:rPr>
      </w:pPr>
      <w:r w:rsidRPr="00DB4FA5">
        <w:rPr>
          <w:rFonts w:ascii="Arial" w:hAnsi="Arial" w:cs="Arial"/>
          <w:b/>
          <w:sz w:val="24"/>
          <w:szCs w:val="28"/>
        </w:rPr>
        <w:t xml:space="preserve">Electronic Meeting, </w:t>
      </w:r>
      <w:r w:rsidR="002134E6">
        <w:rPr>
          <w:rFonts w:ascii="Arial" w:hAnsi="Arial" w:cs="Arial"/>
          <w:b/>
          <w:sz w:val="24"/>
          <w:szCs w:val="28"/>
        </w:rPr>
        <w:t>March 17-23</w:t>
      </w:r>
      <w:r w:rsidRPr="00DB4FA5">
        <w:rPr>
          <w:rFonts w:ascii="Arial" w:hAnsi="Arial" w:cs="Arial"/>
          <w:b/>
          <w:sz w:val="24"/>
          <w:szCs w:val="28"/>
        </w:rPr>
        <w:t>, 202</w:t>
      </w:r>
      <w:r w:rsidR="002134E6">
        <w:rPr>
          <w:rFonts w:ascii="Arial" w:hAnsi="Arial" w:cs="Arial"/>
          <w:b/>
          <w:sz w:val="24"/>
          <w:szCs w:val="28"/>
        </w:rPr>
        <w:t>2</w:t>
      </w:r>
    </w:p>
    <w:p w14:paraId="2FC0AFC8" w14:textId="77777777" w:rsidR="008C05EA" w:rsidRDefault="008C05EA" w:rsidP="00162C49">
      <w:pPr>
        <w:tabs>
          <w:tab w:val="left" w:pos="567"/>
        </w:tabs>
        <w:snapToGrid w:val="0"/>
        <w:spacing w:after="0" w:line="360" w:lineRule="auto"/>
        <w:rPr>
          <w:rStyle w:val="apple-style-span"/>
          <w:rFonts w:ascii="Arial" w:hAnsi="Arial" w:cs="Arial"/>
          <w:color w:val="FF0000"/>
          <w:sz w:val="17"/>
          <w:szCs w:val="17"/>
        </w:rPr>
      </w:pPr>
    </w:p>
    <w:p w14:paraId="0E246307" w14:textId="50320062" w:rsidR="00A67875" w:rsidRPr="00A12683" w:rsidRDefault="00CB40E6" w:rsidP="00162C49">
      <w:pPr>
        <w:tabs>
          <w:tab w:val="left" w:pos="567"/>
        </w:tabs>
        <w:snapToGrid w:val="0"/>
        <w:spacing w:after="0" w:line="360" w:lineRule="auto"/>
        <w:rPr>
          <w:rFonts w:ascii="Arial" w:hAnsi="Arial"/>
          <w:b/>
          <w:lang w:val="en-US"/>
        </w:rPr>
      </w:pPr>
      <w:r w:rsidRPr="00A12683">
        <w:rPr>
          <w:rFonts w:ascii="Arial" w:hAnsi="Arial"/>
          <w:b/>
          <w:lang w:val="en-US"/>
        </w:rPr>
        <w:t>Agenda Item:</w:t>
      </w:r>
      <w:r w:rsidRPr="00A12683">
        <w:rPr>
          <w:rFonts w:ascii="Arial" w:hAnsi="Arial"/>
          <w:lang w:val="en-US"/>
        </w:rPr>
        <w:tab/>
      </w:r>
      <w:bookmarkStart w:id="0" w:name="Source"/>
      <w:bookmarkEnd w:id="0"/>
      <w:r w:rsidR="00F35990" w:rsidRPr="00A12683">
        <w:rPr>
          <w:rFonts w:ascii="Arial" w:hAnsi="Arial"/>
          <w:b/>
          <w:lang w:val="en-US"/>
        </w:rPr>
        <w:tab/>
      </w:r>
      <w:r w:rsidR="00901A16">
        <w:rPr>
          <w:rFonts w:ascii="Arial" w:hAnsi="Arial"/>
          <w:b/>
          <w:lang w:val="en-US"/>
        </w:rPr>
        <w:t>9.5.1.1</w:t>
      </w:r>
    </w:p>
    <w:p w14:paraId="24F7AF14" w14:textId="77777777" w:rsidR="00CB40E6" w:rsidRPr="00A12683" w:rsidRDefault="00F35990" w:rsidP="00162C49">
      <w:pPr>
        <w:tabs>
          <w:tab w:val="left" w:pos="567"/>
        </w:tabs>
        <w:snapToGrid w:val="0"/>
        <w:spacing w:after="0" w:line="360" w:lineRule="auto"/>
        <w:rPr>
          <w:rFonts w:ascii="Arial" w:hAnsi="Arial"/>
        </w:rPr>
      </w:pPr>
      <w:r w:rsidRPr="00A12683">
        <w:rPr>
          <w:rFonts w:ascii="Arial" w:hAnsi="Arial"/>
          <w:b/>
        </w:rPr>
        <w:t>Source:</w:t>
      </w:r>
      <w:r w:rsidR="00CB40E6" w:rsidRPr="00A12683">
        <w:rPr>
          <w:rFonts w:ascii="Arial" w:hAnsi="Arial"/>
          <w:b/>
        </w:rPr>
        <w:tab/>
      </w:r>
      <w:r w:rsidRPr="00A12683">
        <w:rPr>
          <w:rFonts w:ascii="Arial" w:hAnsi="Arial"/>
          <w:b/>
        </w:rPr>
        <w:tab/>
      </w:r>
      <w:r w:rsidRPr="00A12683">
        <w:rPr>
          <w:rFonts w:ascii="Arial" w:hAnsi="Arial"/>
          <w:b/>
        </w:rPr>
        <w:tab/>
      </w:r>
      <w:r w:rsidR="00253382" w:rsidRPr="00A12683">
        <w:rPr>
          <w:rFonts w:ascii="Arial" w:hAnsi="Arial"/>
          <w:b/>
        </w:rPr>
        <w:t>Samsung</w:t>
      </w:r>
    </w:p>
    <w:p w14:paraId="4D045A32" w14:textId="750DF8D3" w:rsidR="00BD7C2A" w:rsidRPr="00A12683" w:rsidRDefault="00CB40E6" w:rsidP="00162C49">
      <w:pPr>
        <w:tabs>
          <w:tab w:val="left" w:pos="567"/>
        </w:tabs>
        <w:snapToGrid w:val="0"/>
        <w:spacing w:after="0" w:line="360" w:lineRule="auto"/>
        <w:rPr>
          <w:rFonts w:ascii="Arial" w:hAnsi="Arial"/>
        </w:rPr>
      </w:pPr>
      <w:r w:rsidRPr="00A12683">
        <w:rPr>
          <w:rFonts w:ascii="Arial" w:hAnsi="Arial"/>
          <w:b/>
        </w:rPr>
        <w:t>Title:</w:t>
      </w:r>
      <w:r w:rsidR="00F35990" w:rsidRPr="00A12683">
        <w:rPr>
          <w:rFonts w:ascii="Arial" w:hAnsi="Arial"/>
        </w:rPr>
        <w:tab/>
      </w:r>
      <w:r w:rsidR="00F35990" w:rsidRPr="00A12683">
        <w:rPr>
          <w:rFonts w:ascii="Arial" w:hAnsi="Arial"/>
        </w:rPr>
        <w:tab/>
      </w:r>
      <w:r w:rsidR="00F35990" w:rsidRPr="00A12683">
        <w:rPr>
          <w:rFonts w:ascii="Arial" w:hAnsi="Arial"/>
        </w:rPr>
        <w:tab/>
      </w:r>
      <w:r w:rsidR="00F35990" w:rsidRPr="00A12683">
        <w:rPr>
          <w:rFonts w:ascii="Arial" w:hAnsi="Arial"/>
        </w:rPr>
        <w:tab/>
      </w:r>
      <w:r w:rsidR="00526FDA" w:rsidRPr="00526FDA">
        <w:rPr>
          <w:rFonts w:ascii="Arial" w:hAnsi="Arial"/>
          <w:b/>
        </w:rPr>
        <w:t>WI summary for WI Core part: Further enhancements on MIMO for NR</w:t>
      </w:r>
    </w:p>
    <w:p w14:paraId="3B051864" w14:textId="404FFD92" w:rsidR="004B3C92" w:rsidRPr="00A12683" w:rsidRDefault="004B3C92" w:rsidP="00162C49">
      <w:pPr>
        <w:tabs>
          <w:tab w:val="left" w:pos="567"/>
        </w:tabs>
        <w:snapToGrid w:val="0"/>
        <w:spacing w:after="0" w:line="360" w:lineRule="auto"/>
        <w:rPr>
          <w:rFonts w:ascii="Arial" w:hAnsi="Arial"/>
        </w:rPr>
      </w:pPr>
      <w:r w:rsidRPr="00A12683">
        <w:rPr>
          <w:rFonts w:ascii="Arial" w:hAnsi="Arial"/>
          <w:b/>
        </w:rPr>
        <w:t>WI code</w:t>
      </w:r>
      <w:r w:rsidR="00D62905" w:rsidRPr="00A12683">
        <w:rPr>
          <w:rFonts w:ascii="Arial" w:hAnsi="Arial"/>
          <w:b/>
        </w:rPr>
        <w:t>(s)</w:t>
      </w:r>
      <w:r w:rsidRPr="00A12683">
        <w:rPr>
          <w:rFonts w:ascii="Arial" w:hAnsi="Arial"/>
          <w:b/>
        </w:rPr>
        <w:t>:</w:t>
      </w:r>
      <w:r w:rsidR="00253382" w:rsidRPr="00A12683">
        <w:rPr>
          <w:rFonts w:ascii="Arial" w:hAnsi="Arial"/>
          <w:b/>
        </w:rPr>
        <w:tab/>
      </w:r>
      <w:r w:rsidR="00253382" w:rsidRPr="00A12683">
        <w:rPr>
          <w:rFonts w:ascii="Arial" w:hAnsi="Arial"/>
          <w:b/>
        </w:rPr>
        <w:tab/>
      </w:r>
      <w:r w:rsidR="00253382" w:rsidRPr="00A12683">
        <w:rPr>
          <w:rFonts w:ascii="Arial" w:hAnsi="Arial"/>
          <w:b/>
        </w:rPr>
        <w:tab/>
      </w:r>
      <w:proofErr w:type="spellStart"/>
      <w:r w:rsidR="00253382" w:rsidRPr="00A12683">
        <w:rPr>
          <w:rFonts w:ascii="Arial" w:hAnsi="Arial"/>
          <w:b/>
        </w:rPr>
        <w:t>NR_</w:t>
      </w:r>
      <w:r w:rsidR="00526FDA">
        <w:rPr>
          <w:rFonts w:ascii="Arial" w:hAnsi="Arial"/>
          <w:b/>
        </w:rPr>
        <w:t>F</w:t>
      </w:r>
      <w:r w:rsidR="00253382" w:rsidRPr="00A12683">
        <w:rPr>
          <w:rFonts w:ascii="Arial" w:hAnsi="Arial"/>
          <w:b/>
        </w:rPr>
        <w:t>eMIMO</w:t>
      </w:r>
      <w:proofErr w:type="spellEnd"/>
      <w:r w:rsidR="00526FDA">
        <w:rPr>
          <w:rFonts w:ascii="Arial" w:hAnsi="Arial"/>
          <w:b/>
        </w:rPr>
        <w:t>-Core</w:t>
      </w:r>
    </w:p>
    <w:p w14:paraId="4D858134" w14:textId="77777777" w:rsidR="00D62905" w:rsidRPr="00A12683" w:rsidRDefault="00D62905" w:rsidP="00162C49">
      <w:pPr>
        <w:tabs>
          <w:tab w:val="left" w:pos="567"/>
        </w:tabs>
        <w:snapToGrid w:val="0"/>
        <w:spacing w:after="0" w:line="360" w:lineRule="auto"/>
        <w:rPr>
          <w:rFonts w:ascii="Arial" w:hAnsi="Arial"/>
          <w:b/>
        </w:rPr>
      </w:pPr>
      <w:r w:rsidRPr="00A12683">
        <w:rPr>
          <w:rFonts w:ascii="Arial" w:hAnsi="Arial"/>
          <w:b/>
        </w:rPr>
        <w:t>leading WG:</w:t>
      </w:r>
      <w:r w:rsidR="00253382" w:rsidRPr="00A12683">
        <w:rPr>
          <w:rFonts w:ascii="Arial" w:hAnsi="Arial"/>
          <w:b/>
        </w:rPr>
        <w:tab/>
      </w:r>
      <w:r w:rsidR="00253382" w:rsidRPr="00A12683">
        <w:rPr>
          <w:rFonts w:ascii="Arial" w:hAnsi="Arial"/>
          <w:b/>
        </w:rPr>
        <w:tab/>
        <w:t>RAN1</w:t>
      </w:r>
      <w:r w:rsidRPr="00A12683">
        <w:rPr>
          <w:rFonts w:ascii="Arial" w:hAnsi="Arial"/>
          <w:b/>
        </w:rPr>
        <w:t xml:space="preserve"> </w:t>
      </w:r>
      <w:bookmarkStart w:id="1" w:name="_GoBack"/>
      <w:bookmarkEnd w:id="1"/>
    </w:p>
    <w:p w14:paraId="15BA8FAB" w14:textId="321CB663" w:rsidR="00CB40E6" w:rsidRPr="00A12683" w:rsidRDefault="004B3C92" w:rsidP="00162C49">
      <w:pPr>
        <w:tabs>
          <w:tab w:val="left" w:pos="567"/>
        </w:tabs>
        <w:snapToGrid w:val="0"/>
        <w:spacing w:after="0" w:line="360" w:lineRule="auto"/>
        <w:rPr>
          <w:rFonts w:ascii="Arial" w:hAnsi="Arial"/>
          <w:b/>
        </w:rPr>
      </w:pPr>
      <w:r w:rsidRPr="00A12683">
        <w:rPr>
          <w:rFonts w:ascii="Arial" w:hAnsi="Arial"/>
          <w:b/>
        </w:rPr>
        <w:t>Release:</w:t>
      </w:r>
      <w:r w:rsidRPr="00A12683">
        <w:rPr>
          <w:rFonts w:ascii="Arial" w:hAnsi="Arial"/>
          <w:b/>
        </w:rPr>
        <w:tab/>
      </w:r>
      <w:r w:rsidRPr="00A12683">
        <w:rPr>
          <w:rFonts w:ascii="Arial" w:hAnsi="Arial"/>
          <w:b/>
        </w:rPr>
        <w:tab/>
      </w:r>
      <w:r w:rsidRPr="00A12683">
        <w:rPr>
          <w:rFonts w:ascii="Arial" w:hAnsi="Arial"/>
          <w:b/>
        </w:rPr>
        <w:tab/>
        <w:t>Rel-</w:t>
      </w:r>
      <w:r w:rsidR="00901A16">
        <w:rPr>
          <w:rFonts w:ascii="Arial" w:hAnsi="Arial"/>
          <w:b/>
        </w:rPr>
        <w:t>17</w:t>
      </w:r>
    </w:p>
    <w:p w14:paraId="31265C8D" w14:textId="77777777" w:rsidR="00CB40E6" w:rsidRPr="00A079D3" w:rsidRDefault="00CB40E6" w:rsidP="00162C49">
      <w:pPr>
        <w:pBdr>
          <w:bottom w:val="single" w:sz="12" w:space="1" w:color="auto"/>
        </w:pBdr>
        <w:tabs>
          <w:tab w:val="left" w:pos="567"/>
        </w:tabs>
        <w:snapToGrid w:val="0"/>
        <w:spacing w:after="0" w:line="360" w:lineRule="auto"/>
      </w:pPr>
    </w:p>
    <w:p w14:paraId="27B9675D" w14:textId="77777777" w:rsidR="00CB40E6" w:rsidRDefault="004F7FE5" w:rsidP="001405E2">
      <w:pPr>
        <w:pStyle w:val="Heading3"/>
      </w:pPr>
      <w:r w:rsidRPr="00A079D3">
        <w:t>1</w:t>
      </w:r>
      <w:r w:rsidRPr="00A079D3">
        <w:tab/>
      </w:r>
      <w:r w:rsidR="004B3C92">
        <w:t>Introduction</w:t>
      </w:r>
    </w:p>
    <w:p w14:paraId="0EBF21F8" w14:textId="04EF7FF3" w:rsidR="00162C49" w:rsidRDefault="00097048" w:rsidP="00162C49">
      <w:pPr>
        <w:spacing w:after="0"/>
        <w:ind w:firstLine="270"/>
        <w:jc w:val="both"/>
      </w:pPr>
      <w:r>
        <w:t>This work item (WI) introduced enhanced specification support for several key aspects on multi-input multi-ou</w:t>
      </w:r>
      <w:r w:rsidR="00001B91">
        <w:t>tput (MIMO) operation where Rel-</w:t>
      </w:r>
      <w:r>
        <w:t xml:space="preserve">15 </w:t>
      </w:r>
      <w:r w:rsidR="00001B91">
        <w:t>and 16 NR were</w:t>
      </w:r>
      <w:r>
        <w:t xml:space="preserve"> found</w:t>
      </w:r>
      <w:r w:rsidR="000E6E3D">
        <w:t xml:space="preserve"> deficient in terms of </w:t>
      </w:r>
      <w:r w:rsidR="00001B91">
        <w:t xml:space="preserve">signalling latency, overhead, as well as </w:t>
      </w:r>
      <w:r w:rsidR="000E6E3D">
        <w:t>spectral efficiency</w:t>
      </w:r>
      <w:r w:rsidR="00001B91">
        <w:t xml:space="preserve"> and coverage.</w:t>
      </w:r>
      <w:r w:rsidR="000E6E3D">
        <w:t xml:space="preserve"> </w:t>
      </w:r>
    </w:p>
    <w:p w14:paraId="5586EFFF" w14:textId="7425DEC9" w:rsidR="00162C49" w:rsidRDefault="000E6E3D" w:rsidP="00162C49">
      <w:pPr>
        <w:spacing w:after="0"/>
        <w:ind w:firstLine="270"/>
        <w:jc w:val="both"/>
      </w:pPr>
      <w:r w:rsidRPr="008E2F6E">
        <w:rPr>
          <w:b/>
        </w:rPr>
        <w:t>First</w:t>
      </w:r>
      <w:r>
        <w:t xml:space="preserve">, </w:t>
      </w:r>
      <w:r w:rsidR="00001B91">
        <w:t xml:space="preserve">although Rel-15/16 NR supports FR2 deployments via multi-beam operation, signalling latency and overhead especially for beam indication are high for common beam operation. This not only hampers deployments in high-speed scenarios, but also scenarios where the number of configured TCI states is large. In addition, it lacks the support for inter-cell operation, multi-panel UEs, and maximum permissible exposure (MPE) mitigation. </w:t>
      </w:r>
    </w:p>
    <w:p w14:paraId="34B1FFBA" w14:textId="719EFB0E" w:rsidR="003D736D" w:rsidRPr="003D736D" w:rsidRDefault="001B5EAC" w:rsidP="003D736D">
      <w:pPr>
        <w:spacing w:after="0"/>
        <w:ind w:firstLine="270"/>
        <w:jc w:val="both"/>
      </w:pPr>
      <w:r w:rsidRPr="008E2F6E">
        <w:rPr>
          <w:b/>
        </w:rPr>
        <w:t>Second</w:t>
      </w:r>
      <w:r w:rsidR="003D736D">
        <w:t xml:space="preserve">, </w:t>
      </w:r>
      <w:r w:rsidR="00393420">
        <w:t xml:space="preserve">although Rel-16 NR introduced </w:t>
      </w:r>
      <w:proofErr w:type="spellStart"/>
      <w:r w:rsidR="00393420">
        <w:t>mTRP</w:t>
      </w:r>
      <w:proofErr w:type="spellEnd"/>
      <w:r w:rsidR="00393420">
        <w:t xml:space="preserve"> support for PDSCH, it still lacks ample support for PDCCH, PUSCH, and PUCCH. In addition, enhancements for inter-cell </w:t>
      </w:r>
      <w:proofErr w:type="spellStart"/>
      <w:r w:rsidR="00393420">
        <w:t>mTRP</w:t>
      </w:r>
      <w:proofErr w:type="spellEnd"/>
      <w:r w:rsidR="00393420">
        <w:t xml:space="preserve"> and beam management aspects specific to </w:t>
      </w:r>
      <w:proofErr w:type="spellStart"/>
      <w:r w:rsidR="00393420">
        <w:t>mTRP</w:t>
      </w:r>
      <w:proofErr w:type="spellEnd"/>
      <w:r w:rsidR="00393420">
        <w:t xml:space="preserve"> are introduced along with features to facilitate high-speed train deployment on single frequency network (HST-SFN). </w:t>
      </w:r>
      <w:r w:rsidR="00001B91">
        <w:t xml:space="preserve"> </w:t>
      </w:r>
    </w:p>
    <w:p w14:paraId="2BAC403D" w14:textId="175C59ED" w:rsidR="00F93D7A" w:rsidRDefault="001B5EAC" w:rsidP="00935EEC">
      <w:pPr>
        <w:spacing w:after="0"/>
        <w:ind w:firstLine="270"/>
        <w:jc w:val="both"/>
      </w:pPr>
      <w:r w:rsidRPr="008E2F6E">
        <w:rPr>
          <w:b/>
        </w:rPr>
        <w:t>Third</w:t>
      </w:r>
      <w:r w:rsidR="0020312C">
        <w:t xml:space="preserve">, </w:t>
      </w:r>
      <w:r w:rsidR="00A21FB3">
        <w:t xml:space="preserve">SRS has been a useful tool to acquire UL or DL CSI since Rel-15. </w:t>
      </w:r>
      <w:r w:rsidR="001571C2">
        <w:t xml:space="preserve">However, </w:t>
      </w:r>
      <w:r w:rsidR="00BB0844">
        <w:t>the triggering mechanism of aperiodic SRS limits its flexibility</w:t>
      </w:r>
      <w:r w:rsidR="00500B87">
        <w:t>.</w:t>
      </w:r>
      <w:r w:rsidR="00BB0844">
        <w:t xml:space="preserve"> Further, antenna switching SRS only supports </w:t>
      </w:r>
      <w:r w:rsidR="00500B87">
        <w:t xml:space="preserve">up to 4 antennas, which limits the </w:t>
      </w:r>
      <w:r w:rsidR="00DB4171">
        <w:t>performance</w:t>
      </w:r>
      <w:r w:rsidR="00500B87">
        <w:t xml:space="preserve"> for use cases requiring larger than 4 receive antennas. In addition, along with the expansion of 5G deployment, the demand to further improve SRS capacity and coverage appears. </w:t>
      </w:r>
    </w:p>
    <w:p w14:paraId="684E196C" w14:textId="10124FA8" w:rsidR="00CE3662" w:rsidRDefault="00F93D7A" w:rsidP="00020F25">
      <w:pPr>
        <w:spacing w:after="0"/>
        <w:ind w:firstLine="270"/>
        <w:jc w:val="both"/>
      </w:pPr>
      <w:r w:rsidRPr="00CE3662">
        <w:rPr>
          <w:b/>
        </w:rPr>
        <w:t>Fourth</w:t>
      </w:r>
      <w:r>
        <w:t>,</w:t>
      </w:r>
      <w:r w:rsidR="00020F25">
        <w:t xml:space="preserve"> although Rel-16 has enhanced the Rel-15 Type-II to allow improved performance-overhead trade-off, CSI enhancements designed for </w:t>
      </w:r>
      <w:proofErr w:type="spellStart"/>
      <w:r w:rsidR="00020F25">
        <w:t>mTRP</w:t>
      </w:r>
      <w:proofErr w:type="spellEnd"/>
      <w:r w:rsidR="00020F25">
        <w:t xml:space="preserve"> non-coherent JT and Type-II assuming FDD (angle-delay) reciprocity can be beneficial to support additional deployment scenarios. </w:t>
      </w:r>
    </w:p>
    <w:p w14:paraId="1732456A" w14:textId="77777777" w:rsidR="001E10F6" w:rsidRPr="00916091" w:rsidRDefault="001E10F6" w:rsidP="008E2F6E">
      <w:pPr>
        <w:spacing w:after="0"/>
        <w:jc w:val="both"/>
      </w:pPr>
    </w:p>
    <w:p w14:paraId="7E9DACAD" w14:textId="77777777" w:rsidR="00A31492" w:rsidRDefault="00A31492" w:rsidP="00A31492">
      <w:pPr>
        <w:pStyle w:val="Heading3"/>
      </w:pPr>
      <w:r>
        <w:t>2</w:t>
      </w:r>
      <w:r w:rsidRPr="00A079D3">
        <w:tab/>
      </w:r>
      <w:r w:rsidR="004B3C92">
        <w:t>Description</w:t>
      </w:r>
    </w:p>
    <w:p w14:paraId="01F65965" w14:textId="29E8C3A1" w:rsidR="004B3C92" w:rsidRPr="002F3B48" w:rsidRDefault="002F3B48" w:rsidP="00A65273">
      <w:pPr>
        <w:spacing w:after="0"/>
        <w:rPr>
          <w:rFonts w:ascii="Arial" w:hAnsi="Arial" w:cs="Arial"/>
          <w:sz w:val="24"/>
        </w:rPr>
      </w:pPr>
      <w:r w:rsidRPr="002F3B48">
        <w:rPr>
          <w:rFonts w:ascii="Arial" w:hAnsi="Arial" w:cs="Arial"/>
          <w:sz w:val="24"/>
        </w:rPr>
        <w:t xml:space="preserve">2.1 </w:t>
      </w:r>
      <w:r w:rsidRPr="002F3B48">
        <w:rPr>
          <w:rFonts w:ascii="Arial" w:hAnsi="Arial" w:cs="Arial"/>
          <w:sz w:val="24"/>
        </w:rPr>
        <w:tab/>
      </w:r>
      <w:r w:rsidR="00EE045F">
        <w:rPr>
          <w:rFonts w:ascii="Arial" w:hAnsi="Arial" w:cs="Arial"/>
          <w:sz w:val="24"/>
        </w:rPr>
        <w:t>Enhancements for multi-beam operation</w:t>
      </w:r>
    </w:p>
    <w:p w14:paraId="5B77708C" w14:textId="7B8E079D" w:rsidR="00C34DBD" w:rsidRDefault="00C34DBD" w:rsidP="004F0092">
      <w:pPr>
        <w:spacing w:after="0"/>
        <w:ind w:firstLine="270"/>
        <w:jc w:val="both"/>
      </w:pPr>
      <w:r>
        <w:t>In Rel-15/16, UL beam indication utilizes a different framework from DL beam indication. As DL and UL beam indication share similar characteristics, a unified TCI-based framework for DL and UL beam indication is introduced in Rel-17 where UL TCI is used to represent UL spatial relation.</w:t>
      </w:r>
      <w:r w:rsidR="00C035EB">
        <w:t xml:space="preserve"> Depending on whether DL and UL share the same TCI (e.g. in relation to the beam correspondence assumption supported by the UE), a UE can be configured with either joint DL/UL TCI (where DL and UL share the same TCI state hence a single TCI state update applies to both) or separate DL/UL TCI (which includes the signalling of DL-only, UL-only, and DL+UL TCI state update). </w:t>
      </w:r>
    </w:p>
    <w:p w14:paraId="62D02492" w14:textId="7CE758EA" w:rsidR="00284D50" w:rsidRDefault="00C34DBD" w:rsidP="004F0092">
      <w:pPr>
        <w:spacing w:after="0"/>
        <w:ind w:firstLine="270"/>
        <w:jc w:val="both"/>
      </w:pPr>
      <w:r>
        <w:t>Central to the Rel-17 TCI framework is t</w:t>
      </w:r>
      <w:r w:rsidR="00001B91">
        <w:t>he use of common beam for UE-dedicated PDCCH and the associated PDSCH</w:t>
      </w:r>
      <w:r>
        <w:t xml:space="preserve"> intended to streamline multi-beam operation</w:t>
      </w:r>
      <w:r w:rsidR="004F0092">
        <w:t xml:space="preserve">. </w:t>
      </w:r>
      <w:r w:rsidR="00001B91">
        <w:t xml:space="preserve">While Rel-15/16 supports the use of common beam for UE-dedicated </w:t>
      </w:r>
      <w:r w:rsidR="00001B91">
        <w:lastRenderedPageBreak/>
        <w:t xml:space="preserve">PDCCH and the associated PDSCH, beam indication is performed via MAC-CE. The latency </w:t>
      </w:r>
      <w:r w:rsidR="004F0092">
        <w:t xml:space="preserve">and overhead </w:t>
      </w:r>
      <w:r w:rsidR="00001B91">
        <w:t>associated with MAC-CE potentially det</w:t>
      </w:r>
      <w:r w:rsidR="004F0092">
        <w:t>ract</w:t>
      </w:r>
      <w:r w:rsidR="00001B91">
        <w:t xml:space="preserve"> the application of NR for high-speed scenarios in the FR2 regime. In Rel-17, </w:t>
      </w:r>
      <w:r w:rsidR="004F0092">
        <w:t xml:space="preserve">such latency and overhead are reduced </w:t>
      </w:r>
      <w:r w:rsidR="00001B91">
        <w:t>with the introduction of DCI-based beam indication using the existing DCI formats 1_1/1_2</w:t>
      </w:r>
      <w:r>
        <w:t xml:space="preserve"> (with and without DL assignments) via the TCI field</w:t>
      </w:r>
      <w:r w:rsidR="00001B91">
        <w:t xml:space="preserve">. </w:t>
      </w:r>
      <w:r w:rsidR="004F0092">
        <w:t>To ensure that</w:t>
      </w:r>
      <w:r>
        <w:t xml:space="preserve"> the NW and the UE are aligned</w:t>
      </w:r>
      <w:r w:rsidR="00001B91">
        <w:t xml:space="preserve"> </w:t>
      </w:r>
      <w:r>
        <w:t>in terms of TCI state, an ACK mechanism for the beam indication is supported either via the ACK associated with the PDSCH (when beam indication is accompanied with DL assignment) or an ACK mechanism analogous to that used for SPS PDSCH release (when beam indication is not accompanied with DL assignment).</w:t>
      </w:r>
      <w:r w:rsidR="00876447">
        <w:t xml:space="preserve"> When only one TCI state is activated via MAC</w:t>
      </w:r>
      <w:r w:rsidR="00FD0B04">
        <w:t>-</w:t>
      </w:r>
      <w:r w:rsidR="00876447">
        <w:t xml:space="preserve">CE, the DCI-based beam indication is not used. In this case, beam indication is performed via MAC-CE. </w:t>
      </w:r>
    </w:p>
    <w:p w14:paraId="5F7C6F25" w14:textId="57644EE0" w:rsidR="00FE3963" w:rsidRDefault="00FE3963" w:rsidP="00876447">
      <w:pPr>
        <w:spacing w:after="0"/>
        <w:ind w:firstLine="270"/>
        <w:jc w:val="both"/>
      </w:pPr>
      <w:r>
        <w:t xml:space="preserve">The Rel-17 TCI framework also supports auxiliary features such as a common TCI state ID update using a common TCI state pool and/or reference CC for Carrier Aggregation, UL power control setting (including PL-RS) association with TCI state, as well as inter-cell beam management. Inter-cell beam management includes measurement and reporting of L1-RSRP as well as beam indication for TCI states associated with PCIs different from that of the serving cell. </w:t>
      </w:r>
      <w:r w:rsidR="00876447">
        <w:t xml:space="preserve">In addition, common beam operation can be configured to other signals such as non-UE dedicated reception associated with serving cell PCI, aperiodic CSI-RS, and aperiodic SRS. </w:t>
      </w:r>
    </w:p>
    <w:p w14:paraId="36ABBD37" w14:textId="02D4C8A5" w:rsidR="00876447" w:rsidRDefault="00876447" w:rsidP="00876447">
      <w:pPr>
        <w:spacing w:after="0"/>
        <w:ind w:firstLine="270"/>
        <w:jc w:val="both"/>
      </w:pPr>
      <w:r>
        <w:t>To better support UEs equipped with multiple panels, UE reporting of the capability associated with the maximum number of SRS ports and its correspondence with CSI-RS or SSB resource indicators (CRI/SSB-RI) is introduced. This reporting is performed in conjunction with the supported beam reporting.</w:t>
      </w:r>
    </w:p>
    <w:p w14:paraId="3E32C0D7" w14:textId="15BF51C7" w:rsidR="00876447" w:rsidRDefault="00876447" w:rsidP="00876447">
      <w:pPr>
        <w:spacing w:after="0"/>
        <w:ind w:firstLine="270"/>
        <w:jc w:val="both"/>
      </w:pPr>
      <w:r>
        <w:t>Due to adherence to the MPE (maximum permissible exposure) regulation, some UL coverage penalty is incurred as the UE ends up using a sub-optimal UL transmit beam. To alleviate this issue, some enhancement in the existing PHR report is introduced where beam-specific P-MPR along with the associated CRI/SSBRI is added into the MAC-CE-based PHR report.</w:t>
      </w:r>
    </w:p>
    <w:p w14:paraId="72713861" w14:textId="2D970619" w:rsidR="00876447" w:rsidRDefault="00876447" w:rsidP="00FD0B04">
      <w:pPr>
        <w:spacing w:after="0"/>
        <w:jc w:val="both"/>
      </w:pPr>
    </w:p>
    <w:p w14:paraId="55C987F2" w14:textId="77777777" w:rsidR="00AD404B" w:rsidRDefault="00AD404B" w:rsidP="00AD404B">
      <w:pPr>
        <w:spacing w:after="0"/>
      </w:pPr>
    </w:p>
    <w:p w14:paraId="2F71289B" w14:textId="771106DC" w:rsidR="002F3B48" w:rsidRPr="002F3B48" w:rsidRDefault="00ED6F73" w:rsidP="002F3B48">
      <w:pPr>
        <w:spacing w:after="0"/>
        <w:rPr>
          <w:rFonts w:ascii="Arial" w:hAnsi="Arial" w:cs="Arial"/>
          <w:sz w:val="24"/>
        </w:rPr>
      </w:pPr>
      <w:r>
        <w:rPr>
          <w:rFonts w:ascii="Arial" w:hAnsi="Arial" w:cs="Arial"/>
          <w:sz w:val="24"/>
        </w:rPr>
        <w:t>2.2</w:t>
      </w:r>
      <w:r w:rsidR="002F3B48" w:rsidRPr="002F3B48">
        <w:rPr>
          <w:rFonts w:ascii="Arial" w:hAnsi="Arial" w:cs="Arial"/>
          <w:sz w:val="24"/>
        </w:rPr>
        <w:t xml:space="preserve"> </w:t>
      </w:r>
      <w:r w:rsidR="002F3B48" w:rsidRPr="002F3B48">
        <w:rPr>
          <w:rFonts w:ascii="Arial" w:hAnsi="Arial" w:cs="Arial"/>
          <w:sz w:val="24"/>
        </w:rPr>
        <w:tab/>
      </w:r>
      <w:r w:rsidR="00EE045F">
        <w:rPr>
          <w:rFonts w:ascii="Arial" w:hAnsi="Arial" w:cs="Arial"/>
          <w:sz w:val="24"/>
        </w:rPr>
        <w:t>Enhancements for m</w:t>
      </w:r>
      <w:r w:rsidR="002F3B48">
        <w:rPr>
          <w:rFonts w:ascii="Arial" w:hAnsi="Arial" w:cs="Arial"/>
          <w:sz w:val="24"/>
        </w:rPr>
        <w:t>ulti-TRP</w:t>
      </w:r>
      <w:r w:rsidR="002F3B48" w:rsidRPr="002F3B48">
        <w:rPr>
          <w:rFonts w:ascii="Arial" w:hAnsi="Arial" w:cs="Arial"/>
          <w:sz w:val="24"/>
        </w:rPr>
        <w:t xml:space="preserve"> </w:t>
      </w:r>
      <w:r w:rsidR="00EE045F">
        <w:rPr>
          <w:rFonts w:ascii="Arial" w:hAnsi="Arial" w:cs="Arial"/>
          <w:sz w:val="24"/>
        </w:rPr>
        <w:t>operation</w:t>
      </w:r>
    </w:p>
    <w:p w14:paraId="62315612" w14:textId="4BA4475C" w:rsidR="00915866" w:rsidRDefault="00915866" w:rsidP="007E4FF5">
      <w:pPr>
        <w:spacing w:after="0"/>
        <w:ind w:firstLine="270"/>
        <w:jc w:val="both"/>
      </w:pPr>
      <w:r>
        <w:t xml:space="preserve">In Rel-17, </w:t>
      </w:r>
      <w:r w:rsidR="006F6AD2">
        <w:t xml:space="preserve">PDCCH repetition is defined by </w:t>
      </w:r>
      <w:r w:rsidR="00471890">
        <w:t>explicit linkage between two search space sets</w:t>
      </w:r>
      <w:r w:rsidR="003A4B6F">
        <w:t xml:space="preserve">. </w:t>
      </w:r>
      <w:r w:rsidR="00FA4A5E">
        <w:t xml:space="preserve">The two linked </w:t>
      </w:r>
      <w:r w:rsidR="00126164">
        <w:t>search space sets can be associated with corresponding CORESETs with different TCI states</w:t>
      </w:r>
      <w:r w:rsidR="00264EA1">
        <w:t>, hence, achieving beam-diversity for PD</w:t>
      </w:r>
      <w:r w:rsidR="006A7EA4">
        <w:t xml:space="preserve">CCH transmission. </w:t>
      </w:r>
      <w:r w:rsidR="003A1DCC">
        <w:t>In Rel-17, only intra-slot PDCCH repetition is supported</w:t>
      </w:r>
      <w:r w:rsidR="00465FCF">
        <w:t xml:space="preserve">, and also, </w:t>
      </w:r>
      <w:r w:rsidR="00D40EF8">
        <w:t>PDCCH repetition</w:t>
      </w:r>
      <w:r w:rsidR="00465FCF">
        <w:t xml:space="preserve"> is only supported for USS or Type3 CSS. </w:t>
      </w:r>
      <w:r w:rsidR="00F50402">
        <w:t xml:space="preserve">In addition, the linkage is </w:t>
      </w:r>
      <w:r w:rsidR="005F0BD8">
        <w:t xml:space="preserve">specified at the PDCCH candidate level by restricting </w:t>
      </w:r>
      <w:r w:rsidR="00F742B1">
        <w:t>configurations of two linked search space sets</w:t>
      </w:r>
      <w:r w:rsidR="0063610B">
        <w:t xml:space="preserve"> resulting in</w:t>
      </w:r>
      <w:r w:rsidR="00D13D6F">
        <w:t xml:space="preserve"> one-to-one mapping between</w:t>
      </w:r>
      <w:r w:rsidR="0063610B">
        <w:t xml:space="preserve"> monitoring occasions and </w:t>
      </w:r>
      <w:r w:rsidR="00D40EF8">
        <w:t xml:space="preserve">between </w:t>
      </w:r>
      <w:r w:rsidR="0063610B">
        <w:t>PD</w:t>
      </w:r>
      <w:r w:rsidR="00EC45EB">
        <w:t xml:space="preserve">CCH candidates of the two linked search space sets. Two linked PDCCH candidates </w:t>
      </w:r>
      <w:r w:rsidR="00A5009A">
        <w:t xml:space="preserve">have the same aggregation level, same coded bits, and the same DCI payload. To avoid ambiguity at the UE, </w:t>
      </w:r>
      <w:r w:rsidR="00104877">
        <w:t xml:space="preserve">a </w:t>
      </w:r>
      <w:r w:rsidR="00A5009A">
        <w:t>reference PDCCH candidate is defined for various procedures</w:t>
      </w:r>
      <w:r w:rsidR="00AC2E9D">
        <w:t xml:space="preserve"> such as timelines, PUCCH resource determination, PDSCH reception with mapping Type B</w:t>
      </w:r>
      <w:r w:rsidR="00417E46">
        <w:t xml:space="preserve"> or mapping Type A, determination of QCL</w:t>
      </w:r>
      <w:r w:rsidR="00304F8A">
        <w:t xml:space="preserve"> assumption for PDSCH when TCI field is not present in DCI, etc.</w:t>
      </w:r>
      <w:r w:rsidR="00A5009A">
        <w:t xml:space="preserve"> </w:t>
      </w:r>
      <w:r w:rsidR="005751CB">
        <w:t>UE can report whether two blind decodes or three blind decodes are needed for two linked PDCCH candidates. In the case of three blin</w:t>
      </w:r>
      <w:r w:rsidR="00B3745B">
        <w:t>d</w:t>
      </w:r>
      <w:r w:rsidR="00B614AD">
        <w:t xml:space="preserve"> decodes, overbooking for PDCCH is enhanced accordingly.</w:t>
      </w:r>
      <w:r w:rsidR="005751CB">
        <w:t xml:space="preserve"> </w:t>
      </w:r>
      <w:r w:rsidR="00A5009A">
        <w:t xml:space="preserve">Furthermore, </w:t>
      </w:r>
      <w:r w:rsidR="005D1AC4">
        <w:t>determination of two QCL-</w:t>
      </w:r>
      <w:proofErr w:type="spellStart"/>
      <w:r w:rsidR="005D1AC4">
        <w:t>TypeD</w:t>
      </w:r>
      <w:proofErr w:type="spellEnd"/>
      <w:r w:rsidR="005D1AC4">
        <w:t xml:space="preserve"> is specified for FR2 to support time-overlapping PDCCH repetitions.</w:t>
      </w:r>
      <w:r w:rsidR="00E24384">
        <w:t xml:space="preserve"> PDCCH repetition is supported </w:t>
      </w:r>
      <w:r w:rsidR="000A7850">
        <w:t xml:space="preserve">also </w:t>
      </w:r>
      <w:r w:rsidR="00E24384">
        <w:t>for cross-carrier scheduling</w:t>
      </w:r>
      <w:r w:rsidR="00F91DD8">
        <w:t xml:space="preserve"> thro</w:t>
      </w:r>
      <w:r w:rsidR="0077133C">
        <w:t>ugh linking two search space sets in both scheduling cell and scheduled cell</w:t>
      </w:r>
      <w:r w:rsidR="00DB0B8F">
        <w:t>.</w:t>
      </w:r>
    </w:p>
    <w:p w14:paraId="2621DC0C" w14:textId="7762C832" w:rsidR="00DB56D3" w:rsidRDefault="00DB56D3" w:rsidP="00DB56D3">
      <w:pPr>
        <w:spacing w:after="0"/>
        <w:ind w:firstLine="270"/>
        <w:jc w:val="both"/>
        <w:rPr>
          <w:rFonts w:eastAsiaTheme="minorEastAsia"/>
          <w:lang w:eastAsia="ko-KR"/>
        </w:rPr>
      </w:pPr>
      <w:r>
        <w:rPr>
          <w:rFonts w:eastAsiaTheme="minorEastAsia" w:hint="eastAsia"/>
          <w:lang w:eastAsia="ko-KR"/>
        </w:rPr>
        <w:t xml:space="preserve">In </w:t>
      </w:r>
      <w:r>
        <w:rPr>
          <w:rFonts w:eastAsiaTheme="minorEastAsia"/>
          <w:lang w:eastAsia="ko-KR"/>
        </w:rPr>
        <w:t xml:space="preserve">Rel-17, </w:t>
      </w:r>
      <w:r w:rsidR="006042DA">
        <w:rPr>
          <w:rFonts w:eastAsiaTheme="minorEastAsia"/>
          <w:lang w:eastAsia="ko-KR"/>
        </w:rPr>
        <w:t>t</w:t>
      </w:r>
      <w:r>
        <w:rPr>
          <w:rFonts w:eastAsiaTheme="minorEastAsia"/>
          <w:lang w:eastAsia="ko-KR"/>
        </w:rPr>
        <w:t>o support multi-TRP PUCCH repetition, up to two sets of power control parameters in FR1 or up to two PUCCH-</w:t>
      </w:r>
      <w:proofErr w:type="spellStart"/>
      <w:r>
        <w:rPr>
          <w:rFonts w:eastAsiaTheme="minorEastAsia"/>
          <w:lang w:eastAsia="ko-KR"/>
        </w:rPr>
        <w:t>SpatialRelationInfo</w:t>
      </w:r>
      <w:proofErr w:type="spellEnd"/>
      <w:r>
        <w:rPr>
          <w:rFonts w:eastAsiaTheme="minorEastAsia"/>
          <w:lang w:eastAsia="ko-KR"/>
        </w:rPr>
        <w:t xml:space="preserve"> in FR2 can be activated per PUCCH resource or per PUCCH resource group via MAC-CE. In addition, multi-TRP PUCCH repetition can be </w:t>
      </w:r>
      <w:r w:rsidR="006042DA">
        <w:rPr>
          <w:rFonts w:eastAsiaTheme="minorEastAsia"/>
          <w:lang w:eastAsia="ko-KR"/>
        </w:rPr>
        <w:t>configured</w:t>
      </w:r>
      <w:r>
        <w:rPr>
          <w:rFonts w:eastAsiaTheme="minorEastAsia"/>
          <w:lang w:eastAsia="ko-KR"/>
        </w:rPr>
        <w:t xml:space="preserve"> by intra-slot PUCCH repetition as well as inter-slot PUCCH </w:t>
      </w:r>
      <w:r>
        <w:rPr>
          <w:rFonts w:eastAsiaTheme="minorEastAsia"/>
          <w:lang w:eastAsia="ko-KR"/>
        </w:rPr>
        <w:lastRenderedPageBreak/>
        <w:t>repetition for all PUCCH formats. Based on the number of activated PUCCH-</w:t>
      </w:r>
      <w:proofErr w:type="spellStart"/>
      <w:r>
        <w:rPr>
          <w:rFonts w:eastAsiaTheme="minorEastAsia"/>
          <w:lang w:eastAsia="ko-KR"/>
        </w:rPr>
        <w:t>SpatialRelationInfo</w:t>
      </w:r>
      <w:proofErr w:type="spellEnd"/>
      <w:r>
        <w:rPr>
          <w:rFonts w:eastAsiaTheme="minorEastAsia"/>
          <w:lang w:eastAsia="ko-KR"/>
        </w:rPr>
        <w:t xml:space="preserve"> or set of power control parameters for the scheduled PUCCH resource, dynamic switching between single-TRP PUCCH repetition and multi-TRP PUCCH repetition can be supported. Separate power control for multi-TRP PUCCH repetition is supported by two activated PUCCH-</w:t>
      </w:r>
      <w:proofErr w:type="spellStart"/>
      <w:r>
        <w:rPr>
          <w:rFonts w:eastAsiaTheme="minorEastAsia"/>
          <w:lang w:eastAsia="ko-KR"/>
        </w:rPr>
        <w:t>SpatialRelationInfo</w:t>
      </w:r>
      <w:proofErr w:type="spellEnd"/>
      <w:r>
        <w:rPr>
          <w:rFonts w:eastAsiaTheme="minorEastAsia"/>
          <w:lang w:eastAsia="ko-KR"/>
        </w:rPr>
        <w:t xml:space="preserve"> or two activated sets of power control parameters. Furthermore, </w:t>
      </w:r>
      <w:r>
        <w:t>up to two TPC field for PUCCH can be supported and each TPC field is applied for each closed loop index</w:t>
      </w:r>
      <w:r>
        <w:rPr>
          <w:rFonts w:eastAsiaTheme="minorEastAsia"/>
          <w:lang w:eastAsia="ko-KR"/>
        </w:rPr>
        <w:t xml:space="preserve">. </w:t>
      </w:r>
    </w:p>
    <w:p w14:paraId="21DDBB35" w14:textId="598CD29D" w:rsidR="00DB56D3" w:rsidRDefault="00DB56D3" w:rsidP="00DB56D3">
      <w:pPr>
        <w:spacing w:after="0"/>
        <w:ind w:firstLine="270"/>
        <w:jc w:val="both"/>
      </w:pPr>
      <w:r>
        <w:rPr>
          <w:rFonts w:eastAsiaTheme="minorEastAsia"/>
          <w:lang w:eastAsia="ko-KR"/>
        </w:rPr>
        <w:t>In Rel-17, multi-TRP PUSCH repetition is supported with up to two SRS resource sets with usage set to ‘codebook’ or ‘</w:t>
      </w:r>
      <w:proofErr w:type="spellStart"/>
      <w:r>
        <w:rPr>
          <w:rFonts w:eastAsiaTheme="minorEastAsia"/>
          <w:lang w:eastAsia="ko-KR"/>
        </w:rPr>
        <w:t>nonCodebook</w:t>
      </w:r>
      <w:proofErr w:type="spellEnd"/>
      <w:r>
        <w:rPr>
          <w:rFonts w:eastAsiaTheme="minorEastAsia"/>
          <w:lang w:eastAsia="ko-KR"/>
        </w:rPr>
        <w:t>’. If UE is provided by two SRS resource sets with usage set to ‘codebook’ or ‘</w:t>
      </w:r>
      <w:proofErr w:type="spellStart"/>
      <w:r>
        <w:rPr>
          <w:rFonts w:eastAsiaTheme="minorEastAsia"/>
          <w:lang w:eastAsia="ko-KR"/>
        </w:rPr>
        <w:t>nonCodebook</w:t>
      </w:r>
      <w:proofErr w:type="spellEnd"/>
      <w:r>
        <w:rPr>
          <w:rFonts w:eastAsiaTheme="minorEastAsia"/>
          <w:lang w:eastAsia="ko-KR"/>
        </w:rPr>
        <w:t>’, the second SRI field, second TPMI field (if CB-based PUSCH is supported), and second PTRS-DMRS association field are indicated by DCI format 0_1 or 0_2 for PUSCH transmission occasion(s) toward the TRP which is related to the second SRS resource set with usage set to ‘codebook’ or ‘</w:t>
      </w:r>
      <w:proofErr w:type="spellStart"/>
      <w:r>
        <w:rPr>
          <w:rFonts w:eastAsiaTheme="minorEastAsia"/>
          <w:lang w:eastAsia="ko-KR"/>
        </w:rPr>
        <w:t>nonCodebook</w:t>
      </w:r>
      <w:proofErr w:type="spellEnd"/>
      <w:r>
        <w:rPr>
          <w:rFonts w:eastAsiaTheme="minorEastAsia"/>
          <w:lang w:eastAsia="ko-KR"/>
        </w:rPr>
        <w:t xml:space="preserve">’ for </w:t>
      </w:r>
      <w:r>
        <w:t>dynamic grant based PUSCH scheduling</w:t>
      </w:r>
      <w:r>
        <w:rPr>
          <w:rFonts w:eastAsiaTheme="minorEastAsia"/>
          <w:lang w:eastAsia="ko-KR"/>
        </w:rPr>
        <w:t xml:space="preserve">. In addition, the new DCI field is defined as ‘SRS resource set indicator’ with 2 bits to support dynamic switching between single-TRP PUSCH repetition (corresponding to </w:t>
      </w:r>
      <w:proofErr w:type="spellStart"/>
      <w:r>
        <w:rPr>
          <w:rFonts w:eastAsiaTheme="minorEastAsia"/>
          <w:lang w:eastAsia="ko-KR"/>
        </w:rPr>
        <w:t>codepoint</w:t>
      </w:r>
      <w:proofErr w:type="spellEnd"/>
      <w:r>
        <w:rPr>
          <w:rFonts w:eastAsiaTheme="minorEastAsia"/>
          <w:lang w:eastAsia="ko-KR"/>
        </w:rPr>
        <w:t xml:space="preserve"> ‘00’ and ‘01’) and multi-TRP PUSCH repetition (corresponding to </w:t>
      </w:r>
      <w:proofErr w:type="spellStart"/>
      <w:r>
        <w:rPr>
          <w:rFonts w:eastAsiaTheme="minorEastAsia"/>
          <w:lang w:eastAsia="ko-KR"/>
        </w:rPr>
        <w:t>codepoint</w:t>
      </w:r>
      <w:proofErr w:type="spellEnd"/>
      <w:r>
        <w:rPr>
          <w:rFonts w:eastAsiaTheme="minorEastAsia"/>
          <w:lang w:eastAsia="ko-KR"/>
        </w:rPr>
        <w:t xml:space="preserve"> ‘10’ and ‘11’). Separate power control for multi-TRP PUSCH repetition is supported by linking between two SRI fields and two sets of power control parameters via higher layer parameter. And also </w:t>
      </w:r>
      <w:r>
        <w:t>up to two TPC field for PUSCH can be supported and each TPC field is applied for each closed loop index. Furthermore, the aforementioned multi-TRP PUSCH repetition is also supported by configured grant type 1 and 2.</w:t>
      </w:r>
    </w:p>
    <w:p w14:paraId="79F31EC7" w14:textId="29602DB2" w:rsidR="00A64C4C" w:rsidRDefault="00A64C4C" w:rsidP="00A64C4C">
      <w:pPr>
        <w:spacing w:after="0"/>
        <w:ind w:firstLine="270"/>
        <w:jc w:val="both"/>
      </w:pPr>
      <w:r>
        <w:t>In Rel-16, multi-TRP PDSCH transmission is supported with two different mechanism</w:t>
      </w:r>
      <w:r w:rsidR="006042DA">
        <w:t>s</w:t>
      </w:r>
      <w:r>
        <w:t xml:space="preserve">: single-DCI and multi-DCI. In Rel-17, multi-TRP PDSCH transmission is further extended to inter-cell operation. A UE can be configured with SSB associated with PCI which are different from serving cell PCI, known as additional PCI. At most 7 different additional PCI can be configured to the UE, and only one is activated for inter-cell multi-TRP operation. The additional PCI can be associated with one or more TCI states, and gNB can schedule PDSCH dynamically from either TRP by indicating TCI in DCI.  </w:t>
      </w:r>
    </w:p>
    <w:p w14:paraId="7F4473E2" w14:textId="77777777" w:rsidR="00675D14" w:rsidRDefault="00F01C82" w:rsidP="00675D14">
      <w:pPr>
        <w:ind w:firstLine="360"/>
        <w:jc w:val="both"/>
        <w:rPr>
          <w:rFonts w:eastAsia="DengXian"/>
          <w:lang w:eastAsia="zh-CN"/>
        </w:rPr>
      </w:pPr>
      <w:r w:rsidRPr="00AF50DE">
        <w:rPr>
          <w:rFonts w:hint="eastAsia"/>
        </w:rPr>
        <w:t xml:space="preserve">In Rel-17, beam reporting and </w:t>
      </w:r>
      <w:r>
        <w:rPr>
          <w:rFonts w:eastAsia="DengXian" w:hint="eastAsia"/>
          <w:lang w:eastAsia="zh-CN"/>
        </w:rPr>
        <w:t>BFR</w:t>
      </w:r>
      <w:r w:rsidRPr="00AF50DE">
        <w:rPr>
          <w:rFonts w:hint="eastAsia"/>
        </w:rPr>
        <w:t xml:space="preserve"> are enhanced for </w:t>
      </w:r>
      <w:proofErr w:type="spellStart"/>
      <w:r w:rsidRPr="00AF50DE">
        <w:rPr>
          <w:rFonts w:hint="eastAsia"/>
        </w:rPr>
        <w:t>mTRP</w:t>
      </w:r>
      <w:proofErr w:type="spellEnd"/>
      <w:r w:rsidRPr="00AF50DE">
        <w:rPr>
          <w:rFonts w:hint="eastAsia"/>
        </w:rPr>
        <w:t xml:space="preserve"> scenario specifically. F</w:t>
      </w:r>
      <w:r w:rsidRPr="00AF50DE">
        <w:t>o</w:t>
      </w:r>
      <w:r w:rsidRPr="00AF50DE">
        <w:rPr>
          <w:rFonts w:hint="eastAsia"/>
        </w:rPr>
        <w:t>r beam reporting enhancement, framework of Rel-15 group based beam reporting is extended</w:t>
      </w:r>
      <w:r>
        <w:rPr>
          <w:rFonts w:eastAsia="DengXian" w:hint="eastAsia"/>
          <w:lang w:eastAsia="zh-CN"/>
        </w:rPr>
        <w:t xml:space="preserve"> to facilitate simultaneous transmission of multiple TRPs</w:t>
      </w:r>
      <w:r w:rsidRPr="00AF50DE">
        <w:rPr>
          <w:rFonts w:hint="eastAsia"/>
        </w:rPr>
        <w:t xml:space="preserve">. </w:t>
      </w:r>
      <w:r>
        <w:rPr>
          <w:rFonts w:eastAsia="DengXian"/>
          <w:lang w:eastAsia="zh-CN"/>
        </w:rPr>
        <w:t>T</w:t>
      </w:r>
      <w:r>
        <w:rPr>
          <w:rFonts w:eastAsia="DengXian" w:hint="eastAsia"/>
          <w:lang w:eastAsia="zh-CN"/>
        </w:rPr>
        <w:t>o achieve that, o</w:t>
      </w:r>
      <w:r w:rsidRPr="00AF50DE">
        <w:rPr>
          <w:rFonts w:hint="eastAsia"/>
        </w:rPr>
        <w:t>ne CSI resource setting includ</w:t>
      </w:r>
      <w:r>
        <w:rPr>
          <w:rFonts w:eastAsia="DengXian" w:hint="eastAsia"/>
          <w:lang w:eastAsia="zh-CN"/>
        </w:rPr>
        <w:t>ing</w:t>
      </w:r>
      <w:r w:rsidRPr="00AF50DE">
        <w:rPr>
          <w:rFonts w:hint="eastAsia"/>
        </w:rPr>
        <w:t xml:space="preserve"> two resource sets corresponding to two TRPs</w:t>
      </w:r>
      <w:r>
        <w:rPr>
          <w:rFonts w:eastAsia="DengXian" w:hint="eastAsia"/>
          <w:lang w:eastAsia="zh-CN"/>
        </w:rPr>
        <w:t xml:space="preserve"> can be configured</w:t>
      </w:r>
      <w:r w:rsidRPr="00AF50DE">
        <w:rPr>
          <w:rFonts w:hint="eastAsia"/>
        </w:rPr>
        <w:t>. In a CSI-report, UE can report N (</w:t>
      </w:r>
      <w:proofErr w:type="spellStart"/>
      <w:r w:rsidRPr="00AF50DE">
        <w:rPr>
          <w:rFonts w:hint="eastAsia"/>
        </w:rPr>
        <w:t>Nmax</w:t>
      </w:r>
      <w:proofErr w:type="spellEnd"/>
      <w:r w:rsidRPr="00AF50DE">
        <w:rPr>
          <w:rFonts w:hint="eastAsia"/>
        </w:rPr>
        <w:t xml:space="preserve"> = {1,</w:t>
      </w:r>
      <w:r>
        <w:rPr>
          <w:rFonts w:eastAsia="DengXian" w:hint="eastAsia"/>
          <w:lang w:eastAsia="zh-CN"/>
        </w:rPr>
        <w:t xml:space="preserve"> </w:t>
      </w:r>
      <w:r w:rsidRPr="00AF50DE">
        <w:rPr>
          <w:rFonts w:hint="eastAsia"/>
        </w:rPr>
        <w:t>2,</w:t>
      </w:r>
      <w:r>
        <w:rPr>
          <w:rFonts w:eastAsia="DengXian" w:hint="eastAsia"/>
          <w:lang w:eastAsia="zh-CN"/>
        </w:rPr>
        <w:t xml:space="preserve"> </w:t>
      </w:r>
      <w:r w:rsidRPr="00AF50DE">
        <w:rPr>
          <w:rFonts w:hint="eastAsia"/>
        </w:rPr>
        <w:t>3,</w:t>
      </w:r>
      <w:r>
        <w:rPr>
          <w:rFonts w:eastAsia="DengXian" w:hint="eastAsia"/>
          <w:lang w:eastAsia="zh-CN"/>
        </w:rPr>
        <w:t xml:space="preserve"> </w:t>
      </w:r>
      <w:r w:rsidRPr="00AF50DE">
        <w:rPr>
          <w:rFonts w:hint="eastAsia"/>
        </w:rPr>
        <w:t>4}) groups</w:t>
      </w:r>
      <w:r>
        <w:rPr>
          <w:rFonts w:eastAsia="DengXian" w:hint="eastAsia"/>
          <w:lang w:eastAsia="zh-CN"/>
        </w:rPr>
        <w:t xml:space="preserve"> of</w:t>
      </w:r>
      <w:r w:rsidRPr="00AF50DE">
        <w:rPr>
          <w:rFonts w:hint="eastAsia"/>
        </w:rPr>
        <w:t xml:space="preserve"> simultaneously </w:t>
      </w:r>
      <w:r w:rsidRPr="00AF50DE">
        <w:t xml:space="preserve">received </w:t>
      </w:r>
      <w:r>
        <w:rPr>
          <w:rFonts w:eastAsia="DengXian"/>
          <w:lang w:eastAsia="zh-CN"/>
        </w:rPr>
        <w:t>beams</w:t>
      </w:r>
      <w:r>
        <w:rPr>
          <w:rFonts w:eastAsia="DengXian" w:hint="eastAsia"/>
          <w:lang w:eastAsia="zh-CN"/>
        </w:rPr>
        <w:t>, wherein e</w:t>
      </w:r>
      <w:r w:rsidRPr="00AF50DE">
        <w:rPr>
          <w:rFonts w:eastAsia="DengXian" w:hint="eastAsia"/>
          <w:lang w:eastAsia="zh-CN"/>
        </w:rPr>
        <w:t xml:space="preserve">ach reported beam in one group </w:t>
      </w:r>
      <w:r>
        <w:rPr>
          <w:rFonts w:eastAsia="DengXian" w:hint="eastAsia"/>
          <w:lang w:eastAsia="zh-CN"/>
        </w:rPr>
        <w:t>corresponds to one TRP. D</w:t>
      </w:r>
      <w:r w:rsidRPr="00AF50DE">
        <w:rPr>
          <w:rFonts w:eastAsia="DengXian" w:hint="eastAsia"/>
          <w:lang w:eastAsia="zh-CN"/>
        </w:rPr>
        <w:t>ifferential L1-RSRP reporting across all beam groups</w:t>
      </w:r>
      <w:r>
        <w:rPr>
          <w:rFonts w:eastAsia="DengXian" w:hint="eastAsia"/>
          <w:lang w:eastAsia="zh-CN"/>
        </w:rPr>
        <w:t xml:space="preserve"> is supported, and 1-bit is added to indicate </w:t>
      </w:r>
      <w:r w:rsidRPr="00AF50DE">
        <w:rPr>
          <w:rFonts w:eastAsia="DengXian" w:hint="eastAsia"/>
          <w:lang w:eastAsia="zh-CN"/>
        </w:rPr>
        <w:t>CMR set associated with the largest RSRP value in the first group</w:t>
      </w:r>
      <w:r>
        <w:rPr>
          <w:rFonts w:eastAsia="DengXian" w:hint="eastAsia"/>
          <w:lang w:eastAsia="zh-CN"/>
        </w:rPr>
        <w:t xml:space="preserve">. For BFR enhancements, both single-DCI and multi-DCI </w:t>
      </w:r>
      <w:r>
        <w:rPr>
          <w:rFonts w:eastAsia="DengXian"/>
          <w:lang w:eastAsia="zh-CN"/>
        </w:rPr>
        <w:t>framework</w:t>
      </w:r>
      <w:r>
        <w:rPr>
          <w:rFonts w:eastAsia="DengXian" w:hint="eastAsia"/>
          <w:lang w:eastAsia="zh-CN"/>
        </w:rPr>
        <w:t xml:space="preserve"> are supported. For multi-DCI, two explicit or implicit BFD-RS sets are introduced for two TRPs in one CC. BFRQ can be transmitted if any one of BFD-RS sets fails. </w:t>
      </w:r>
      <w:r w:rsidRPr="00DF4716">
        <w:rPr>
          <w:rFonts w:eastAsia="DengXian"/>
          <w:lang w:eastAsia="zh-CN"/>
        </w:rPr>
        <w:t xml:space="preserve">BFRQ framework </w:t>
      </w:r>
      <w:r>
        <w:rPr>
          <w:rFonts w:eastAsia="DengXian" w:hint="eastAsia"/>
          <w:lang w:eastAsia="zh-CN"/>
        </w:rPr>
        <w:t xml:space="preserve">is enhanced </w:t>
      </w:r>
      <w:r w:rsidRPr="00DF4716">
        <w:rPr>
          <w:rFonts w:eastAsia="DengXian"/>
          <w:lang w:eastAsia="zh-CN"/>
        </w:rPr>
        <w:t xml:space="preserve">based on Rel.16 </w:t>
      </w:r>
      <w:proofErr w:type="spellStart"/>
      <w:r w:rsidRPr="00DF4716">
        <w:rPr>
          <w:rFonts w:eastAsia="DengXian"/>
          <w:lang w:eastAsia="zh-CN"/>
        </w:rPr>
        <w:t>SCell</w:t>
      </w:r>
      <w:proofErr w:type="spellEnd"/>
      <w:r w:rsidRPr="00DF4716">
        <w:rPr>
          <w:rFonts w:eastAsia="DengXian"/>
          <w:lang w:eastAsia="zh-CN"/>
        </w:rPr>
        <w:t xml:space="preserve"> BFR</w:t>
      </w:r>
      <w:r>
        <w:rPr>
          <w:rFonts w:eastAsia="DengXian" w:hint="eastAsia"/>
          <w:lang w:eastAsia="zh-CN"/>
        </w:rPr>
        <w:t xml:space="preserve">. The maximum number of PUCCH-SR </w:t>
      </w:r>
      <w:r>
        <w:rPr>
          <w:rFonts w:eastAsia="DengXian"/>
          <w:lang w:eastAsia="zh-CN"/>
        </w:rPr>
        <w:t>resource</w:t>
      </w:r>
      <w:r>
        <w:rPr>
          <w:rFonts w:eastAsia="DengXian" w:hint="eastAsia"/>
          <w:lang w:eastAsia="zh-CN"/>
        </w:rPr>
        <w:t xml:space="preserve">s is extended to 2. After UE receives </w:t>
      </w:r>
      <w:proofErr w:type="spellStart"/>
      <w:r>
        <w:rPr>
          <w:rFonts w:eastAsia="DengXian" w:hint="eastAsia"/>
          <w:lang w:eastAsia="zh-CN"/>
        </w:rPr>
        <w:t>gNB</w:t>
      </w:r>
      <w:r>
        <w:rPr>
          <w:rFonts w:eastAsia="DengXian"/>
          <w:lang w:eastAsia="zh-CN"/>
        </w:rPr>
        <w:t>’</w:t>
      </w:r>
      <w:r>
        <w:rPr>
          <w:rFonts w:eastAsia="DengXian" w:hint="eastAsia"/>
          <w:lang w:eastAsia="zh-CN"/>
        </w:rPr>
        <w:t>s</w:t>
      </w:r>
      <w:proofErr w:type="spellEnd"/>
      <w:r>
        <w:rPr>
          <w:rFonts w:eastAsia="DengXian" w:hint="eastAsia"/>
          <w:lang w:eastAsia="zh-CN"/>
        </w:rPr>
        <w:t xml:space="preserve"> response, per-TRP beam reset can be performed. When both BFD-RS sets in </w:t>
      </w:r>
      <w:proofErr w:type="spellStart"/>
      <w:r>
        <w:rPr>
          <w:rFonts w:eastAsia="DengXian" w:hint="eastAsia"/>
          <w:lang w:eastAsia="zh-CN"/>
        </w:rPr>
        <w:t>SpCell</w:t>
      </w:r>
      <w:proofErr w:type="spellEnd"/>
      <w:r>
        <w:rPr>
          <w:rFonts w:eastAsia="DengXian" w:hint="eastAsia"/>
          <w:lang w:eastAsia="zh-CN"/>
        </w:rPr>
        <w:t xml:space="preserve"> fail, CBRA based RACH transmission can be triggered. For single-DCI, only explicit BFD-RS set configuration can be supported. </w:t>
      </w:r>
    </w:p>
    <w:p w14:paraId="738C3C03" w14:textId="3615D977" w:rsidR="00B93DC9" w:rsidRPr="00675D14" w:rsidRDefault="00233878" w:rsidP="00675D14">
      <w:pPr>
        <w:ind w:firstLine="360"/>
        <w:jc w:val="both"/>
        <w:rPr>
          <w:rFonts w:eastAsia="DengXian"/>
          <w:lang w:eastAsia="zh-CN"/>
        </w:rPr>
      </w:pPr>
      <w:r>
        <w:t xml:space="preserve">Rel-17 defines </w:t>
      </w:r>
      <w:r w:rsidR="00B93DC9">
        <w:t xml:space="preserve">two key approaches for frequency offset compensation </w:t>
      </w:r>
      <w:r>
        <w:t>in HST-SFN scenario</w:t>
      </w:r>
      <w:r w:rsidR="00B93DC9">
        <w:t xml:space="preserve">: UE-based and TRP-based compensation schemes. For UE-based compensation (scheme A), UE receives additional reference signals transmitted by the TRPs in a non-SFN manner to facilitate more accurate frequency offset compensation. The corresponding non-SFN TRS configurations are provided to the UE by </w:t>
      </w:r>
      <w:r>
        <w:t xml:space="preserve">using </w:t>
      </w:r>
      <w:r w:rsidR="00B93DC9">
        <w:t xml:space="preserve">two TCI states </w:t>
      </w:r>
      <w:r>
        <w:t>(</w:t>
      </w:r>
      <w:r w:rsidR="00B93DC9">
        <w:t>containing reference to the TRS of two TRPs</w:t>
      </w:r>
      <w:r>
        <w:t>)</w:t>
      </w:r>
      <w:r w:rsidR="00B93DC9">
        <w:t xml:space="preserve"> using DCI and MAC </w:t>
      </w:r>
      <w:proofErr w:type="spellStart"/>
      <w:r w:rsidR="00B93DC9">
        <w:t>signaling</w:t>
      </w:r>
      <w:proofErr w:type="spellEnd"/>
      <w:r w:rsidR="00B93DC9">
        <w:t xml:space="preserve">. The </w:t>
      </w:r>
      <w:r>
        <w:t xml:space="preserve">TRP-based compensation (scheme B) </w:t>
      </w:r>
      <w:r w:rsidR="00B93DC9">
        <w:t xml:space="preserve">relies on </w:t>
      </w:r>
      <w:r>
        <w:t xml:space="preserve">frequency offset </w:t>
      </w:r>
      <w:r w:rsidR="00B93DC9">
        <w:t>pre-compensation</w:t>
      </w:r>
      <w:r>
        <w:t xml:space="preserve"> at the network side</w:t>
      </w:r>
      <w:r w:rsidR="00B93DC9">
        <w:t xml:space="preserve">, where each TRP estimates the downlink frequency by using uplink signal, e.g., </w:t>
      </w:r>
      <w:r w:rsidR="00B93DC9">
        <w:lastRenderedPageBreak/>
        <w:t>SRS, and compensates the downlink frequency per TRP prior to transmission</w:t>
      </w:r>
      <w:r>
        <w:t>.</w:t>
      </w:r>
      <w:r w:rsidR="00B93DC9">
        <w:rPr>
          <w:lang w:eastAsia="zh-CN"/>
        </w:rPr>
        <w:t xml:space="preserve"> F</w:t>
      </w:r>
      <w:r w:rsidR="00B93DC9">
        <w:t xml:space="preserve">or TRP based pre-compensation, UE also receives two TRS transmitted by the TRPs in a non-SFN manner </w:t>
      </w:r>
      <w:r>
        <w:t>using two TCI states</w:t>
      </w:r>
      <w:r w:rsidR="00B93DC9">
        <w:t>.</w:t>
      </w:r>
      <w:r w:rsidR="00B93DC9" w:rsidRPr="003E2733">
        <w:t xml:space="preserve"> </w:t>
      </w:r>
      <w:r w:rsidR="00DE00B7">
        <w:t>However, s</w:t>
      </w:r>
      <w:r w:rsidR="00B93DC9">
        <w:t xml:space="preserve">ince network pre-compensates the PDCCH and PDSCH by the difference of the frequency offsets observed between two TRPs, frequency offset tracking at the UE is performed using only one TRS transmitted by the reference TRP. </w:t>
      </w:r>
    </w:p>
    <w:p w14:paraId="664C98D5" w14:textId="2C9B91E7" w:rsidR="00D67485" w:rsidRPr="002F3B48" w:rsidRDefault="00D67485" w:rsidP="00D67485">
      <w:pPr>
        <w:spacing w:after="0"/>
        <w:rPr>
          <w:rFonts w:ascii="Arial" w:hAnsi="Arial" w:cs="Arial"/>
          <w:sz w:val="24"/>
        </w:rPr>
      </w:pPr>
      <w:r>
        <w:rPr>
          <w:rFonts w:ascii="Arial" w:hAnsi="Arial" w:cs="Arial"/>
          <w:sz w:val="24"/>
        </w:rPr>
        <w:t>2.3</w:t>
      </w:r>
      <w:r w:rsidRPr="002F3B48">
        <w:rPr>
          <w:rFonts w:ascii="Arial" w:hAnsi="Arial" w:cs="Arial"/>
          <w:sz w:val="24"/>
        </w:rPr>
        <w:t xml:space="preserve"> </w:t>
      </w:r>
      <w:r w:rsidRPr="002F3B48">
        <w:rPr>
          <w:rFonts w:ascii="Arial" w:hAnsi="Arial" w:cs="Arial"/>
          <w:sz w:val="24"/>
        </w:rPr>
        <w:tab/>
      </w:r>
      <w:r w:rsidR="00EE045F">
        <w:rPr>
          <w:rFonts w:ascii="Arial" w:hAnsi="Arial" w:cs="Arial"/>
          <w:sz w:val="24"/>
        </w:rPr>
        <w:t>SRS</w:t>
      </w:r>
      <w:r w:rsidRPr="002F3B48">
        <w:rPr>
          <w:rFonts w:ascii="Arial" w:hAnsi="Arial" w:cs="Arial"/>
          <w:sz w:val="24"/>
        </w:rPr>
        <w:t xml:space="preserve"> </w:t>
      </w:r>
      <w:r w:rsidR="00EE045F">
        <w:rPr>
          <w:rFonts w:ascii="Arial" w:hAnsi="Arial" w:cs="Arial"/>
          <w:sz w:val="24"/>
        </w:rPr>
        <w:t>enhancements</w:t>
      </w:r>
    </w:p>
    <w:p w14:paraId="214C9ED8" w14:textId="5D057D98" w:rsidR="00F45327" w:rsidRDefault="00EF03D9" w:rsidP="00EE045F">
      <w:pPr>
        <w:spacing w:after="0"/>
        <w:ind w:firstLine="270"/>
        <w:jc w:val="both"/>
      </w:pPr>
      <w:r>
        <w:t xml:space="preserve">In NR Rel-15/16, </w:t>
      </w:r>
      <w:r w:rsidR="006E3539">
        <w:t xml:space="preserve">aperiodic SRS is triggered by DCI to provide dynamic indication of SRS transmission. However, only one triggering offset value can be configured in RRC per SRS resource set. This limits the </w:t>
      </w:r>
      <w:r w:rsidR="00147EF2">
        <w:t>valid</w:t>
      </w:r>
      <w:r w:rsidR="006E3539">
        <w:t xml:space="preserve"> combinations of the location to send the triggering DCI and the location to transmit SRS, esp. considering TDD slot format, where not all slots are available to transmit SRS. To address this issue, Rel-17 introduces SRS triggering offset enhancement based on available slot definition. Up to 4 offset values can be configured in RRC per SRS resource set, where each value is defined as the number of available slots counting from a reference slot. Reference slot is defined as the slot indicated by legacy triggering offset. In DCI format 0_1/0_2/1_1/1_2, one new field “SRS offset indicator” (SOI) is added to select one available slot offset value from the configured ones.</w:t>
      </w:r>
      <w:r w:rsidR="00440E29">
        <w:t xml:space="preserve"> In addition, </w:t>
      </w:r>
      <w:r w:rsidR="00B277D8">
        <w:t xml:space="preserve">Rel-15/16 </w:t>
      </w:r>
      <w:r w:rsidR="00440E29">
        <w:t>DCI format 0_1/0_2 cannot be indicated to trigger SRS only, i.e., without CSI request and without data. This limitation is removed in Rel-17 by allowing gNB to trigger SRS based on DCI format 0_1/0_2 without CSI request and without data.</w:t>
      </w:r>
    </w:p>
    <w:p w14:paraId="2346A54F" w14:textId="23503B77" w:rsidR="00440E29" w:rsidRDefault="002F73C1" w:rsidP="00EE045F">
      <w:pPr>
        <w:spacing w:after="0"/>
        <w:ind w:firstLine="270"/>
        <w:jc w:val="both"/>
      </w:pPr>
      <w:r>
        <w:t>To ensure performance for uses case with larger than 4 receive antennas</w:t>
      </w:r>
      <w:r w:rsidR="00C36D19">
        <w:t xml:space="preserve">, Rel-17 introduces antenna switching SRS to support 1T6R, 1T8R, 2T6R, 2T8R and 4T8R. </w:t>
      </w:r>
      <w:r w:rsidR="00490634">
        <w:t>In addition</w:t>
      </w:r>
      <w:r w:rsidR="00C36D19">
        <w:t xml:space="preserve">, to improve flexibility of antenna switching SRS, Rel-17 </w:t>
      </w:r>
      <w:r w:rsidR="002A18C6">
        <w:t>extend</w:t>
      </w:r>
      <w:r w:rsidR="00490634">
        <w:t>s</w:t>
      </w:r>
      <w:r w:rsidR="002A18C6">
        <w:t xml:space="preserve"> the P/SP configurations by supporting </w:t>
      </w:r>
      <w:r w:rsidR="002A18C6" w:rsidRPr="002A18C6">
        <w:t>maximum 2 SP SRS resource sets and maximum 1 periodic SRS resource set for antenna switching</w:t>
      </w:r>
      <w:r w:rsidR="002A18C6">
        <w:t xml:space="preserve">, and the aperiodic configuration by supporting 1 or </w:t>
      </w:r>
      <w:r w:rsidR="002A18C6" w:rsidRPr="002A18C6">
        <w:t>4 aperiodic SRS resource sets for 1T4R and 2 aperiodic resource sets for 1T2R/2T4R</w:t>
      </w:r>
      <w:r w:rsidR="002A18C6">
        <w:t>.</w:t>
      </w:r>
    </w:p>
    <w:p w14:paraId="1FBE81B4" w14:textId="0DA23A79" w:rsidR="00ED4322" w:rsidRDefault="00ED4322" w:rsidP="00EE045F">
      <w:pPr>
        <w:spacing w:after="0"/>
        <w:ind w:firstLine="270"/>
        <w:jc w:val="both"/>
      </w:pPr>
      <w:r>
        <w:t xml:space="preserve">In order to </w:t>
      </w:r>
      <w:r w:rsidR="00DD53CF">
        <w:t>enhance</w:t>
      </w:r>
      <w:r>
        <w:t xml:space="preserve"> the capacity and coverage for SRS, the following </w:t>
      </w:r>
      <w:r w:rsidR="00DD53CF">
        <w:t>three schemes</w:t>
      </w:r>
      <w:r>
        <w:t xml:space="preserve"> are specified in Rel-17.</w:t>
      </w:r>
    </w:p>
    <w:p w14:paraId="70D03DC1" w14:textId="52D7CD2E" w:rsidR="00ED4322" w:rsidRPr="004E595F" w:rsidRDefault="00595E1D" w:rsidP="00ED4322">
      <w:pPr>
        <w:pStyle w:val="ListParagraph"/>
        <w:numPr>
          <w:ilvl w:val="0"/>
          <w:numId w:val="30"/>
        </w:numPr>
        <w:spacing w:after="0"/>
        <w:jc w:val="both"/>
      </w:pPr>
      <w:r>
        <w:rPr>
          <w:rFonts w:eastAsia="DengXian" w:hint="eastAsia"/>
          <w:lang w:eastAsia="zh-CN"/>
        </w:rPr>
        <w:t>I</w:t>
      </w:r>
      <w:r>
        <w:rPr>
          <w:rFonts w:eastAsia="DengXian"/>
          <w:lang w:eastAsia="zh-CN"/>
        </w:rPr>
        <w:t xml:space="preserve">ncreased repetition: Rel-17 supports </w:t>
      </w:r>
      <w:r w:rsidR="004E595F">
        <w:rPr>
          <w:rFonts w:eastAsia="DengXian"/>
          <w:lang w:eastAsia="zh-CN"/>
        </w:rPr>
        <w:t>8, 10, 12 and</w:t>
      </w:r>
      <w:r w:rsidR="004E595F" w:rsidRPr="004E595F">
        <w:rPr>
          <w:rFonts w:eastAsia="DengXian"/>
          <w:lang w:eastAsia="zh-CN"/>
        </w:rPr>
        <w:t xml:space="preserve"> 14 </w:t>
      </w:r>
      <w:r w:rsidR="004E595F">
        <w:rPr>
          <w:rFonts w:eastAsia="DengXian"/>
          <w:lang w:eastAsia="zh-CN"/>
        </w:rPr>
        <w:t xml:space="preserve">consecutive repetition </w:t>
      </w:r>
      <w:r w:rsidR="004E595F" w:rsidRPr="004E595F">
        <w:rPr>
          <w:rFonts w:eastAsia="DengXian"/>
          <w:lang w:eastAsia="zh-CN"/>
        </w:rPr>
        <w:t>symbols</w:t>
      </w:r>
      <w:r w:rsidR="004E595F">
        <w:rPr>
          <w:rFonts w:eastAsia="DengXian"/>
          <w:lang w:eastAsia="zh-CN"/>
        </w:rPr>
        <w:t xml:space="preserve"> in one slot in one SRS resource.</w:t>
      </w:r>
    </w:p>
    <w:p w14:paraId="3BE72D83" w14:textId="07731922" w:rsidR="004E595F" w:rsidRPr="00162A2D" w:rsidRDefault="004E595F" w:rsidP="00ED4322">
      <w:pPr>
        <w:pStyle w:val="ListParagraph"/>
        <w:numPr>
          <w:ilvl w:val="0"/>
          <w:numId w:val="30"/>
        </w:numPr>
        <w:spacing w:after="0"/>
        <w:jc w:val="both"/>
      </w:pPr>
      <w:r>
        <w:rPr>
          <w:rFonts w:eastAsia="DengXian"/>
          <w:lang w:eastAsia="zh-CN"/>
        </w:rPr>
        <w:t xml:space="preserve">Partial frequency sounding: </w:t>
      </w:r>
      <w:r w:rsidR="00475452">
        <w:rPr>
          <w:rFonts w:eastAsia="DengXian"/>
          <w:lang w:eastAsia="zh-CN"/>
        </w:rPr>
        <w:t xml:space="preserve">Rel-17 supports to </w:t>
      </w:r>
      <w:r w:rsidR="00475452" w:rsidRPr="00475452">
        <w:rPr>
          <w:rFonts w:eastAsia="DengXian"/>
          <w:bCs/>
          <w:iCs/>
          <w:lang w:eastAsia="zh-CN"/>
        </w:rPr>
        <w:t>transmit SRS only in</w:t>
      </w:r>
      <w:r w:rsidR="00475452" w:rsidRPr="00475452">
        <w:rPr>
          <w:rFonts w:eastAsia="DengXian"/>
          <w:bCs/>
          <w:lang w:eastAsia="zh-CN"/>
        </w:rPr>
        <w:t> </w:t>
      </w:r>
      <m:oMath>
        <m:f>
          <m:fPr>
            <m:ctrlPr>
              <w:rPr>
                <w:rFonts w:ascii="Cambria Math" w:eastAsia="DengXian" w:hAnsi="Cambria Math"/>
                <w:bCs/>
                <w:lang w:val="en-US" w:eastAsia="zh-CN"/>
              </w:rPr>
            </m:ctrlPr>
          </m:fPr>
          <m:num>
            <m:r>
              <m:rPr>
                <m:sty m:val="p"/>
              </m:rPr>
              <w:rPr>
                <w:rFonts w:ascii="Cambria Math" w:eastAsia="DengXian" w:hAnsi="Cambria Math"/>
                <w:lang w:val="en-US" w:eastAsia="zh-CN"/>
              </w:rPr>
              <m:t>1</m:t>
            </m:r>
          </m:num>
          <m:den>
            <m:sSub>
              <m:sSubPr>
                <m:ctrlPr>
                  <w:rPr>
                    <w:rFonts w:ascii="Cambria Math" w:eastAsia="DengXian" w:hAnsi="Cambria Math"/>
                    <w:bCs/>
                    <w:lang w:val="en-US" w:eastAsia="zh-CN"/>
                  </w:rPr>
                </m:ctrlPr>
              </m:sSubPr>
              <m:e>
                <m:r>
                  <m:rPr>
                    <m:sty m:val="p"/>
                  </m:rPr>
                  <w:rPr>
                    <w:rFonts w:ascii="Cambria Math" w:eastAsia="DengXian" w:hAnsi="Cambria Math"/>
                    <w:lang w:val="en-US" w:eastAsia="zh-CN"/>
                  </w:rPr>
                  <m:t>P</m:t>
                </m:r>
              </m:e>
              <m:sub>
                <m:r>
                  <m:rPr>
                    <m:sty m:val="p"/>
                  </m:rPr>
                  <w:rPr>
                    <w:rFonts w:ascii="Cambria Math" w:eastAsia="DengXian" w:hAnsi="Cambria Math"/>
                    <w:lang w:val="en-US" w:eastAsia="zh-CN"/>
                  </w:rPr>
                  <m:t>F</m:t>
                </m:r>
              </m:sub>
            </m:sSub>
          </m:den>
        </m:f>
        <m:sSub>
          <m:sSubPr>
            <m:ctrlPr>
              <w:rPr>
                <w:rFonts w:ascii="Cambria Math" w:eastAsia="DengXian" w:hAnsi="Cambria Math"/>
                <w:bCs/>
                <w:lang w:val="en-US" w:eastAsia="zh-CN"/>
              </w:rPr>
            </m:ctrlPr>
          </m:sSubPr>
          <m:e>
            <m:r>
              <m:rPr>
                <m:sty m:val="p"/>
              </m:rPr>
              <w:rPr>
                <w:rFonts w:ascii="Cambria Math" w:eastAsia="DengXian" w:hAnsi="Cambria Math"/>
                <w:lang w:val="en-US" w:eastAsia="zh-CN"/>
              </w:rPr>
              <m:t>m</m:t>
            </m:r>
          </m:e>
          <m:sub>
            <m:r>
              <m:rPr>
                <m:sty m:val="p"/>
              </m:rPr>
              <w:rPr>
                <w:rFonts w:ascii="Cambria Math" w:eastAsia="DengXian" w:hAnsi="Cambria Math"/>
                <w:lang w:val="en-US" w:eastAsia="zh-CN"/>
              </w:rPr>
              <m:t>SRS,</m:t>
            </m:r>
            <m:sSub>
              <m:sSubPr>
                <m:ctrlPr>
                  <w:rPr>
                    <w:rFonts w:ascii="Cambria Math" w:eastAsia="DengXian" w:hAnsi="Cambria Math"/>
                    <w:bCs/>
                    <w:lang w:val="en-US" w:eastAsia="zh-CN"/>
                  </w:rPr>
                </m:ctrlPr>
              </m:sSubPr>
              <m:e>
                <m:r>
                  <m:rPr>
                    <m:sty m:val="p"/>
                  </m:rPr>
                  <w:rPr>
                    <w:rFonts w:ascii="Cambria Math" w:eastAsia="DengXian" w:hAnsi="Cambria Math"/>
                    <w:lang w:val="en-US" w:eastAsia="zh-CN"/>
                  </w:rPr>
                  <m:t>B</m:t>
                </m:r>
              </m:e>
              <m:sub>
                <m:r>
                  <m:rPr>
                    <m:sty m:val="p"/>
                  </m:rPr>
                  <w:rPr>
                    <w:rFonts w:ascii="Cambria Math" w:eastAsia="DengXian" w:hAnsi="Cambria Math"/>
                    <w:lang w:val="en-US" w:eastAsia="zh-CN"/>
                  </w:rPr>
                  <m:t>SRS</m:t>
                </m:r>
              </m:sub>
            </m:sSub>
          </m:sub>
        </m:sSub>
      </m:oMath>
      <w:r w:rsidR="00475452" w:rsidRPr="00475452">
        <w:rPr>
          <w:rFonts w:eastAsia="DengXian"/>
          <w:bCs/>
          <w:iCs/>
          <w:lang w:eastAsia="zh-CN"/>
        </w:rPr>
        <w:t xml:space="preserve"> contiguous RBs in one OFDM symbol, where </w:t>
      </w:r>
      <m:oMath>
        <m:sSub>
          <m:sSubPr>
            <m:ctrlPr>
              <w:rPr>
                <w:rFonts w:ascii="Cambria Math" w:eastAsia="DengXian" w:hAnsi="Cambria Math"/>
                <w:bCs/>
                <w:lang w:val="en-US" w:eastAsia="zh-CN"/>
              </w:rPr>
            </m:ctrlPr>
          </m:sSubPr>
          <m:e>
            <m:r>
              <m:rPr>
                <m:sty m:val="p"/>
              </m:rPr>
              <w:rPr>
                <w:rFonts w:ascii="Cambria Math" w:eastAsia="DengXian" w:hAnsi="Cambria Math"/>
                <w:lang w:val="en-US" w:eastAsia="zh-CN"/>
              </w:rPr>
              <m:t>m</m:t>
            </m:r>
          </m:e>
          <m:sub>
            <m:r>
              <m:rPr>
                <m:sty m:val="p"/>
              </m:rPr>
              <w:rPr>
                <w:rFonts w:ascii="Cambria Math" w:eastAsia="DengXian" w:hAnsi="Cambria Math"/>
                <w:lang w:val="en-US" w:eastAsia="zh-CN"/>
              </w:rPr>
              <m:t>SRS,</m:t>
            </m:r>
            <m:sSub>
              <m:sSubPr>
                <m:ctrlPr>
                  <w:rPr>
                    <w:rFonts w:ascii="Cambria Math" w:eastAsia="DengXian" w:hAnsi="Cambria Math"/>
                    <w:bCs/>
                    <w:lang w:val="en-US" w:eastAsia="zh-CN"/>
                  </w:rPr>
                </m:ctrlPr>
              </m:sSubPr>
              <m:e>
                <m:r>
                  <m:rPr>
                    <m:sty m:val="p"/>
                  </m:rPr>
                  <w:rPr>
                    <w:rFonts w:ascii="Cambria Math" w:eastAsia="DengXian" w:hAnsi="Cambria Math"/>
                    <w:lang w:val="en-US" w:eastAsia="zh-CN"/>
                  </w:rPr>
                  <m:t>B</m:t>
                </m:r>
              </m:e>
              <m:sub>
                <m:r>
                  <m:rPr>
                    <m:sty m:val="p"/>
                  </m:rPr>
                  <w:rPr>
                    <w:rFonts w:ascii="Cambria Math" w:eastAsia="DengXian" w:hAnsi="Cambria Math"/>
                    <w:lang w:val="en-US" w:eastAsia="zh-CN"/>
                  </w:rPr>
                  <m:t>SRS</m:t>
                </m:r>
              </m:sub>
            </m:sSub>
          </m:sub>
        </m:sSub>
      </m:oMath>
      <w:r w:rsidR="00475452" w:rsidRPr="00475452">
        <w:rPr>
          <w:rFonts w:eastAsia="DengXian"/>
          <w:bCs/>
          <w:iCs/>
          <w:lang w:eastAsia="zh-CN"/>
        </w:rPr>
        <w:t>  indicates the number of RBs configured by B</w:t>
      </w:r>
      <w:r w:rsidR="00475452" w:rsidRPr="00475452">
        <w:rPr>
          <w:rFonts w:eastAsia="DengXian"/>
          <w:bCs/>
          <w:iCs/>
          <w:vertAlign w:val="subscript"/>
          <w:lang w:eastAsia="zh-CN"/>
        </w:rPr>
        <w:t>SRS</w:t>
      </w:r>
      <w:r w:rsidR="00475452" w:rsidRPr="00475452">
        <w:rPr>
          <w:rFonts w:eastAsia="DengXian"/>
          <w:bCs/>
          <w:iCs/>
          <w:lang w:eastAsia="zh-CN"/>
        </w:rPr>
        <w:t> and C</w:t>
      </w:r>
      <w:r w:rsidR="00475452" w:rsidRPr="00475452">
        <w:rPr>
          <w:rFonts w:eastAsia="DengXian"/>
          <w:bCs/>
          <w:iCs/>
          <w:vertAlign w:val="subscript"/>
          <w:lang w:eastAsia="zh-CN"/>
        </w:rPr>
        <w:t>SRS</w:t>
      </w:r>
      <w:r w:rsidR="00475452">
        <w:rPr>
          <w:rFonts w:eastAsia="DengXian"/>
          <w:bCs/>
          <w:iCs/>
          <w:lang w:eastAsia="zh-CN"/>
        </w:rPr>
        <w:t>. It can be applied on both frequency hopping case and non-frequency hopping case. The scaling factor P</w:t>
      </w:r>
      <w:r w:rsidR="00475452" w:rsidRPr="00475452">
        <w:rPr>
          <w:rFonts w:eastAsia="DengXian"/>
          <w:bCs/>
          <w:iCs/>
          <w:vertAlign w:val="subscript"/>
          <w:lang w:eastAsia="zh-CN"/>
        </w:rPr>
        <w:t>F</w:t>
      </w:r>
      <w:r w:rsidR="00475452">
        <w:rPr>
          <w:rFonts w:eastAsia="DengXian"/>
          <w:bCs/>
          <w:iCs/>
          <w:lang w:eastAsia="zh-CN"/>
        </w:rPr>
        <w:t xml:space="preserve"> is configured by RRC</w:t>
      </w:r>
      <w:r w:rsidR="00B9260F">
        <w:rPr>
          <w:rFonts w:eastAsia="DengXian"/>
          <w:bCs/>
          <w:iCs/>
          <w:lang w:eastAsia="zh-CN"/>
        </w:rPr>
        <w:t xml:space="preserve"> per SRS resource</w:t>
      </w:r>
      <w:r w:rsidR="00475452">
        <w:rPr>
          <w:rFonts w:eastAsia="DengXian"/>
          <w:bCs/>
          <w:iCs/>
          <w:lang w:eastAsia="zh-CN"/>
        </w:rPr>
        <w:t xml:space="preserve">, which can be 2 or 4. </w:t>
      </w:r>
      <w:r w:rsidR="00002438">
        <w:rPr>
          <w:rFonts w:eastAsia="DengXian"/>
          <w:bCs/>
          <w:iCs/>
          <w:lang w:eastAsia="zh-CN"/>
        </w:rPr>
        <w:t xml:space="preserve">The start RB index </w:t>
      </w:r>
      <w:r w:rsidR="00002438" w:rsidRPr="001F7B4E">
        <w:rPr>
          <w:rFonts w:eastAsia="Malgun Gothic"/>
        </w:rPr>
        <w:t xml:space="preserve">of the </w:t>
      </w:r>
      <m:oMath>
        <m:f>
          <m:fPr>
            <m:ctrlPr>
              <w:rPr>
                <w:rFonts w:ascii="Cambria Math" w:eastAsia="Malgun Gothic" w:hAnsi="Cambria Math"/>
                <w:bCs/>
              </w:rPr>
            </m:ctrlPr>
          </m:fPr>
          <m:num>
            <m:r>
              <m:rPr>
                <m:sty m:val="p"/>
              </m:rPr>
              <w:rPr>
                <w:rFonts w:ascii="Cambria Math" w:eastAsia="Malgun Gothic" w:hAnsi="Cambria Math"/>
              </w:rPr>
              <m:t>1</m:t>
            </m:r>
          </m:num>
          <m:den>
            <m:sSub>
              <m:sSubPr>
                <m:ctrlPr>
                  <w:rPr>
                    <w:rFonts w:ascii="Cambria Math" w:eastAsia="Malgun Gothic" w:hAnsi="Cambria Math"/>
                    <w:bCs/>
                  </w:rPr>
                </m:ctrlPr>
              </m:sSubPr>
              <m:e>
                <m:r>
                  <m:rPr>
                    <m:sty m:val="p"/>
                  </m:rPr>
                  <w:rPr>
                    <w:rFonts w:ascii="Cambria Math" w:eastAsia="Malgun Gothic" w:hAnsi="Cambria Math"/>
                  </w:rPr>
                  <m:t>P</m:t>
                </m:r>
              </m:e>
              <m:sub>
                <m:r>
                  <m:rPr>
                    <m:sty m:val="p"/>
                  </m:rPr>
                  <w:rPr>
                    <w:rFonts w:ascii="Cambria Math" w:eastAsia="Malgun Gothic" w:hAnsi="Cambria Math"/>
                  </w:rPr>
                  <m:t>F</m:t>
                </m:r>
              </m:sub>
            </m:sSub>
          </m:den>
        </m:f>
        <m:sSub>
          <m:sSubPr>
            <m:ctrlPr>
              <w:rPr>
                <w:rFonts w:ascii="Cambria Math" w:eastAsia="Malgun Gothic" w:hAnsi="Cambria Math"/>
                <w:bCs/>
              </w:rPr>
            </m:ctrlPr>
          </m:sSubPr>
          <m:e>
            <m:r>
              <m:rPr>
                <m:sty m:val="p"/>
              </m:rPr>
              <w:rPr>
                <w:rFonts w:ascii="Cambria Math" w:eastAsia="Malgun Gothic" w:hAnsi="Cambria Math"/>
              </w:rPr>
              <m:t>m</m:t>
            </m:r>
          </m:e>
          <m:sub>
            <m:r>
              <m:rPr>
                <m:sty m:val="p"/>
              </m:rPr>
              <w:rPr>
                <w:rFonts w:ascii="Cambria Math" w:eastAsia="Malgun Gothic" w:hAnsi="Cambria Math"/>
              </w:rPr>
              <m:t>SRS, </m:t>
            </m:r>
            <m:sSub>
              <m:sSubPr>
                <m:ctrlPr>
                  <w:rPr>
                    <w:rFonts w:ascii="Cambria Math" w:eastAsia="Malgun Gothic" w:hAnsi="Cambria Math"/>
                    <w:bCs/>
                  </w:rPr>
                </m:ctrlPr>
              </m:sSubPr>
              <m:e>
                <m:r>
                  <m:rPr>
                    <m:sty m:val="p"/>
                  </m:rPr>
                  <w:rPr>
                    <w:rFonts w:ascii="Cambria Math" w:eastAsia="Malgun Gothic" w:hAnsi="Cambria Math"/>
                  </w:rPr>
                  <m:t>B</m:t>
                </m:r>
              </m:e>
              <m:sub>
                <m:r>
                  <m:rPr>
                    <m:sty m:val="p"/>
                  </m:rPr>
                  <w:rPr>
                    <w:rFonts w:ascii="Cambria Math" w:eastAsia="Malgun Gothic" w:hAnsi="Cambria Math"/>
                  </w:rPr>
                  <m:t>SRS</m:t>
                </m:r>
              </m:sub>
            </m:sSub>
          </m:sub>
        </m:sSub>
      </m:oMath>
      <w:r w:rsidR="00002438" w:rsidRPr="001F7B4E">
        <w:rPr>
          <w:rFonts w:eastAsia="Malgun Gothic"/>
          <w:bCs/>
        </w:rPr>
        <w:t xml:space="preserve"> RBs in the </w:t>
      </w:r>
      <m:oMath>
        <m:sSub>
          <m:sSubPr>
            <m:ctrlPr>
              <w:rPr>
                <w:rFonts w:ascii="Cambria Math" w:eastAsia="Malgun Gothic" w:hAnsi="Cambria Math"/>
                <w:bCs/>
              </w:rPr>
            </m:ctrlPr>
          </m:sSubPr>
          <m:e>
            <m:r>
              <m:rPr>
                <m:sty m:val="p"/>
              </m:rPr>
              <w:rPr>
                <w:rFonts w:ascii="Cambria Math" w:eastAsia="Malgun Gothic" w:hAnsi="Cambria Math"/>
              </w:rPr>
              <m:t>m</m:t>
            </m:r>
          </m:e>
          <m:sub>
            <m:r>
              <m:rPr>
                <m:sty m:val="p"/>
              </m:rPr>
              <w:rPr>
                <w:rFonts w:ascii="Cambria Math" w:eastAsia="Malgun Gothic" w:hAnsi="Cambria Math"/>
              </w:rPr>
              <m:t>SRS, </m:t>
            </m:r>
            <m:sSub>
              <m:sSubPr>
                <m:ctrlPr>
                  <w:rPr>
                    <w:rFonts w:ascii="Cambria Math" w:eastAsia="Malgun Gothic" w:hAnsi="Cambria Math"/>
                    <w:bCs/>
                  </w:rPr>
                </m:ctrlPr>
              </m:sSubPr>
              <m:e>
                <m:r>
                  <m:rPr>
                    <m:sty m:val="p"/>
                  </m:rPr>
                  <w:rPr>
                    <w:rFonts w:ascii="Cambria Math" w:eastAsia="Malgun Gothic" w:hAnsi="Cambria Math"/>
                  </w:rPr>
                  <m:t>B</m:t>
                </m:r>
              </m:e>
              <m:sub>
                <m:r>
                  <m:rPr>
                    <m:sty m:val="p"/>
                  </m:rPr>
                  <w:rPr>
                    <w:rFonts w:ascii="Cambria Math" w:eastAsia="Malgun Gothic" w:hAnsi="Cambria Math"/>
                  </w:rPr>
                  <m:t>SRS</m:t>
                </m:r>
              </m:sub>
            </m:sSub>
          </m:sub>
        </m:sSub>
      </m:oMath>
      <w:r w:rsidR="00002438" w:rsidRPr="001F7B4E">
        <w:rPr>
          <w:rFonts w:eastAsia="Malgun Gothic"/>
          <w:bCs/>
        </w:rPr>
        <w:t xml:space="preserve"> RBs is</w:t>
      </w:r>
      <w:r w:rsidR="00002438">
        <w:rPr>
          <w:rFonts w:eastAsia="Malgun Gothic"/>
          <w:bCs/>
        </w:rPr>
        <w:t xml:space="preserve"> </w:t>
      </w:r>
      <m:oMath>
        <m:sSub>
          <m:sSubPr>
            <m:ctrlPr>
              <w:rPr>
                <w:rFonts w:ascii="Cambria Math" w:eastAsia="Malgun Gothic" w:hAnsi="Cambria Math"/>
                <w:bCs/>
                <w:lang w:val="en-US"/>
              </w:rPr>
            </m:ctrlPr>
          </m:sSubPr>
          <m:e>
            <m:r>
              <m:rPr>
                <m:sty m:val="p"/>
              </m:rPr>
              <w:rPr>
                <w:rFonts w:ascii="Cambria Math" w:eastAsia="Malgun Gothic" w:hAnsi="Cambria Math"/>
                <w:lang w:val="en-US"/>
              </w:rPr>
              <m:t>N</m:t>
            </m:r>
          </m:e>
          <m:sub>
            <m:r>
              <m:rPr>
                <m:sty m:val="p"/>
              </m:rPr>
              <w:rPr>
                <w:rFonts w:ascii="Cambria Math" w:eastAsia="Malgun Gothic" w:hAnsi="Cambria Math"/>
                <w:lang w:val="en-US"/>
              </w:rPr>
              <m:t>offset</m:t>
            </m:r>
          </m:sub>
        </m:sSub>
        <m:r>
          <m:rPr>
            <m:sty m:val="p"/>
          </m:rPr>
          <w:rPr>
            <w:rFonts w:ascii="Cambria Math" w:eastAsia="Malgun Gothic" w:hAnsi="Cambria Math"/>
            <w:lang w:val="en-US"/>
          </w:rPr>
          <m:t>=</m:t>
        </m:r>
        <m:f>
          <m:fPr>
            <m:ctrlPr>
              <w:rPr>
                <w:rFonts w:ascii="Cambria Math" w:eastAsia="Malgun Gothic" w:hAnsi="Cambria Math"/>
                <w:bCs/>
                <w:lang w:val="en-US"/>
              </w:rPr>
            </m:ctrlPr>
          </m:fPr>
          <m:num>
            <m:d>
              <m:dPr>
                <m:ctrlPr>
                  <w:rPr>
                    <w:rFonts w:ascii="Cambria Math" w:eastAsia="Malgun Gothic" w:hAnsi="Cambria Math"/>
                    <w:bCs/>
                    <w:lang w:val="en-US"/>
                  </w:rPr>
                </m:ctrlPr>
              </m:dPr>
              <m:e>
                <m:sSub>
                  <m:sSubPr>
                    <m:ctrlPr>
                      <w:rPr>
                        <w:rFonts w:ascii="Cambria Math" w:eastAsia="Malgun Gothic" w:hAnsi="Cambria Math"/>
                        <w:bCs/>
                        <w:lang w:val="en-US"/>
                      </w:rPr>
                    </m:ctrlPr>
                  </m:sSubPr>
                  <m:e>
                    <m:r>
                      <m:rPr>
                        <m:sty m:val="p"/>
                      </m:rPr>
                      <w:rPr>
                        <w:rFonts w:ascii="Cambria Math" w:eastAsia="Malgun Gothic" w:hAnsi="Cambria Math"/>
                        <w:lang w:val="en-US"/>
                      </w:rPr>
                      <m:t>k</m:t>
                    </m:r>
                  </m:e>
                  <m:sub>
                    <m:r>
                      <m:rPr>
                        <m:sty m:val="p"/>
                      </m:rPr>
                      <w:rPr>
                        <w:rFonts w:ascii="Cambria Math" w:eastAsia="Malgun Gothic" w:hAnsi="Cambria Math"/>
                        <w:lang w:val="en-US"/>
                      </w:rPr>
                      <m:t>F</m:t>
                    </m:r>
                  </m:sub>
                </m:sSub>
                <m:r>
                  <m:rPr>
                    <m:sty m:val="p"/>
                  </m:rPr>
                  <w:rPr>
                    <w:rFonts w:ascii="Cambria Math" w:eastAsia="Malgun Gothic" w:hAnsi="Cambria Math"/>
                    <w:lang w:val="en-US"/>
                  </w:rPr>
                  <m:t>+</m:t>
                </m:r>
                <m:sSub>
                  <m:sSubPr>
                    <m:ctrlPr>
                      <w:rPr>
                        <w:rFonts w:ascii="Cambria Math" w:eastAsia="Malgun Gothic" w:hAnsi="Cambria Math"/>
                        <w:bCs/>
                        <w:lang w:val="en-US"/>
                      </w:rPr>
                    </m:ctrlPr>
                  </m:sSubPr>
                  <m:e>
                    <m:r>
                      <m:rPr>
                        <m:sty m:val="p"/>
                      </m:rPr>
                      <w:rPr>
                        <w:rFonts w:ascii="Cambria Math" w:eastAsia="Malgun Gothic" w:hAnsi="Cambria Math"/>
                        <w:lang w:val="en-US"/>
                      </w:rPr>
                      <m:t>k</m:t>
                    </m:r>
                  </m:e>
                  <m:sub>
                    <m:r>
                      <m:rPr>
                        <m:sty m:val="p"/>
                      </m:rPr>
                      <w:rPr>
                        <w:rFonts w:ascii="Cambria Math" w:eastAsia="Malgun Gothic" w:hAnsi="Cambria Math"/>
                        <w:lang w:val="en-US"/>
                      </w:rPr>
                      <m:t>hopping</m:t>
                    </m:r>
                  </m:sub>
                </m:sSub>
              </m:e>
            </m:d>
            <m:r>
              <m:rPr>
                <m:sty m:val="p"/>
              </m:rPr>
              <w:rPr>
                <w:rFonts w:ascii="Cambria Math" w:eastAsia="Malgun Gothic" w:hAnsi="Cambria Math"/>
                <w:lang w:val="en-US"/>
              </w:rPr>
              <m:t xml:space="preserve"> mod </m:t>
            </m:r>
            <m:sSub>
              <m:sSubPr>
                <m:ctrlPr>
                  <w:rPr>
                    <w:rFonts w:ascii="Cambria Math" w:eastAsia="Malgun Gothic" w:hAnsi="Cambria Math"/>
                    <w:bCs/>
                    <w:lang w:val="en-US"/>
                  </w:rPr>
                </m:ctrlPr>
              </m:sSubPr>
              <m:e>
                <m:r>
                  <m:rPr>
                    <m:sty m:val="p"/>
                  </m:rPr>
                  <w:rPr>
                    <w:rFonts w:ascii="Cambria Math" w:eastAsia="Malgun Gothic" w:hAnsi="Cambria Math"/>
                    <w:lang w:val="en-US"/>
                  </w:rPr>
                  <m:t>P</m:t>
                </m:r>
              </m:e>
              <m:sub>
                <m:r>
                  <m:rPr>
                    <m:sty m:val="p"/>
                  </m:rPr>
                  <w:rPr>
                    <w:rFonts w:ascii="Cambria Math" w:eastAsia="Malgun Gothic" w:hAnsi="Cambria Math"/>
                    <w:lang w:val="en-US"/>
                  </w:rPr>
                  <m:t>F</m:t>
                </m:r>
              </m:sub>
            </m:sSub>
          </m:num>
          <m:den>
            <m:sSub>
              <m:sSubPr>
                <m:ctrlPr>
                  <w:rPr>
                    <w:rFonts w:ascii="Cambria Math" w:eastAsia="Malgun Gothic" w:hAnsi="Cambria Math"/>
                    <w:bCs/>
                    <w:lang w:val="en-US"/>
                  </w:rPr>
                </m:ctrlPr>
              </m:sSubPr>
              <m:e>
                <m:r>
                  <m:rPr>
                    <m:sty m:val="p"/>
                  </m:rPr>
                  <w:rPr>
                    <w:rFonts w:ascii="Cambria Math" w:eastAsia="Malgun Gothic" w:hAnsi="Cambria Math"/>
                    <w:lang w:val="en-US"/>
                  </w:rPr>
                  <m:t>P</m:t>
                </m:r>
              </m:e>
              <m:sub>
                <m:r>
                  <m:rPr>
                    <m:sty m:val="p"/>
                  </m:rPr>
                  <w:rPr>
                    <w:rFonts w:ascii="Cambria Math" w:eastAsia="Malgun Gothic" w:hAnsi="Cambria Math"/>
                    <w:lang w:val="en-US"/>
                  </w:rPr>
                  <m:t>F</m:t>
                </m:r>
              </m:sub>
            </m:sSub>
          </m:den>
        </m:f>
        <m:sSub>
          <m:sSubPr>
            <m:ctrlPr>
              <w:rPr>
                <w:rFonts w:ascii="Cambria Math" w:eastAsia="Malgun Gothic" w:hAnsi="Cambria Math"/>
                <w:bCs/>
                <w:lang w:val="en-US"/>
              </w:rPr>
            </m:ctrlPr>
          </m:sSubPr>
          <m:e>
            <m:r>
              <m:rPr>
                <m:sty m:val="p"/>
              </m:rPr>
              <w:rPr>
                <w:rFonts w:ascii="Cambria Math" w:eastAsia="Malgun Gothic" w:hAnsi="Cambria Math"/>
                <w:lang w:val="en-US"/>
              </w:rPr>
              <m:t>m</m:t>
            </m:r>
          </m:e>
          <m:sub>
            <m:r>
              <m:rPr>
                <m:sty m:val="p"/>
              </m:rPr>
              <w:rPr>
                <w:rFonts w:ascii="Cambria Math" w:eastAsia="Malgun Gothic" w:hAnsi="Cambria Math"/>
                <w:lang w:val="en-US"/>
              </w:rPr>
              <m:t xml:space="preserve">SRS, </m:t>
            </m:r>
            <m:sSub>
              <m:sSubPr>
                <m:ctrlPr>
                  <w:rPr>
                    <w:rFonts w:ascii="Cambria Math" w:eastAsia="Malgun Gothic" w:hAnsi="Cambria Math"/>
                    <w:bCs/>
                    <w:lang w:val="en-US"/>
                  </w:rPr>
                </m:ctrlPr>
              </m:sSubPr>
              <m:e>
                <m:r>
                  <m:rPr>
                    <m:sty m:val="p"/>
                  </m:rPr>
                  <w:rPr>
                    <w:rFonts w:ascii="Cambria Math" w:eastAsia="Malgun Gothic" w:hAnsi="Cambria Math"/>
                    <w:lang w:val="en-US"/>
                  </w:rPr>
                  <m:t>B</m:t>
                </m:r>
              </m:e>
              <m:sub>
                <m:r>
                  <m:rPr>
                    <m:sty m:val="p"/>
                  </m:rPr>
                  <w:rPr>
                    <w:rFonts w:ascii="Cambria Math" w:eastAsia="Malgun Gothic" w:hAnsi="Cambria Math"/>
                    <w:lang w:val="en-US"/>
                  </w:rPr>
                  <m:t>SRS</m:t>
                </m:r>
              </m:sub>
            </m:sSub>
          </m:sub>
        </m:sSub>
      </m:oMath>
      <w:r w:rsidR="00002438" w:rsidRPr="00002438">
        <w:rPr>
          <w:rFonts w:eastAsia="Malgun Gothic" w:hint="eastAsia"/>
          <w:bCs/>
          <w:lang w:val="en-US"/>
        </w:rPr>
        <w:t xml:space="preserve"> ,</w:t>
      </w:r>
      <w:r w:rsidR="00002438" w:rsidRPr="00002438">
        <w:rPr>
          <w:rFonts w:eastAsia="Malgun Gothic"/>
          <w:bCs/>
          <w:lang w:val="en-US"/>
        </w:rPr>
        <w:t xml:space="preserve"> where</w:t>
      </w:r>
      <w:r w:rsidR="0092331A">
        <w:rPr>
          <w:rFonts w:eastAsia="Malgun Gothic"/>
          <w:bCs/>
          <w:lang w:val="en-US"/>
        </w:rPr>
        <w:t xml:space="preserve"> </w:t>
      </w:r>
      <w:proofErr w:type="spellStart"/>
      <w:r w:rsidR="00002438" w:rsidRPr="00002438">
        <w:rPr>
          <w:rFonts w:eastAsia="Malgun Gothic"/>
          <w:bCs/>
          <w:lang w:val="en-US"/>
        </w:rPr>
        <w:t>k</w:t>
      </w:r>
      <w:r w:rsidR="00002438" w:rsidRPr="00002438">
        <w:rPr>
          <w:rFonts w:eastAsia="Malgun Gothic"/>
          <w:bCs/>
          <w:vertAlign w:val="subscript"/>
          <w:lang w:val="en-US"/>
        </w:rPr>
        <w:t>F</w:t>
      </w:r>
      <w:proofErr w:type="spellEnd"/>
      <w:r w:rsidR="00002438" w:rsidRPr="00002438">
        <w:rPr>
          <w:rFonts w:eastAsia="Malgun Gothic"/>
          <w:bCs/>
          <w:lang w:val="en-US"/>
        </w:rPr>
        <w:t xml:space="preserve"> </w:t>
      </w:r>
      <w:r w:rsidR="00002438">
        <w:rPr>
          <w:rFonts w:eastAsia="Malgun Gothic"/>
          <w:bCs/>
          <w:lang w:val="en-US"/>
        </w:rPr>
        <w:t xml:space="preserve">is configured by RRC </w:t>
      </w:r>
      <w:r w:rsidR="00B9260F">
        <w:rPr>
          <w:rFonts w:eastAsia="Malgun Gothic"/>
          <w:bCs/>
          <w:lang w:val="en-US"/>
        </w:rPr>
        <w:t xml:space="preserve">with </w:t>
      </w:r>
      <w:r w:rsidR="00431706">
        <w:rPr>
          <w:rFonts w:eastAsia="Malgun Gothic"/>
          <w:bCs/>
          <w:lang w:val="en-US"/>
        </w:rPr>
        <w:t xml:space="preserve">a </w:t>
      </w:r>
      <w:r w:rsidR="00B9260F">
        <w:rPr>
          <w:rFonts w:eastAsia="Malgun Gothic"/>
          <w:bCs/>
          <w:lang w:val="en-US"/>
        </w:rPr>
        <w:t xml:space="preserve">value chosen </w:t>
      </w:r>
      <w:r w:rsidR="00002438">
        <w:rPr>
          <w:rFonts w:eastAsia="Malgun Gothic"/>
          <w:bCs/>
          <w:lang w:val="en-US"/>
        </w:rPr>
        <w:t xml:space="preserve">from </w:t>
      </w:r>
      <w:proofErr w:type="spellStart"/>
      <w:r w:rsidR="00002438" w:rsidRPr="00002438">
        <w:rPr>
          <w:rFonts w:eastAsia="Malgun Gothic"/>
          <w:bCs/>
          <w:lang w:val="en-US"/>
        </w:rPr>
        <w:t>k</w:t>
      </w:r>
      <w:r w:rsidR="00002438" w:rsidRPr="00002438">
        <w:rPr>
          <w:rFonts w:eastAsia="Malgun Gothic"/>
          <w:bCs/>
          <w:vertAlign w:val="subscript"/>
          <w:lang w:val="en-US"/>
        </w:rPr>
        <w:t>F</w:t>
      </w:r>
      <w:proofErr w:type="spellEnd"/>
      <w:r w:rsidR="00002438" w:rsidRPr="00002438">
        <w:rPr>
          <w:rFonts w:eastAsia="Malgun Gothic"/>
          <w:bCs/>
          <w:lang w:val="en-US"/>
        </w:rPr>
        <w:t xml:space="preserve"> = {0, 1, …, P</w:t>
      </w:r>
      <w:r w:rsidR="00002438" w:rsidRPr="00002438">
        <w:rPr>
          <w:rFonts w:eastAsia="Malgun Gothic"/>
          <w:bCs/>
          <w:vertAlign w:val="subscript"/>
          <w:lang w:val="en-US"/>
        </w:rPr>
        <w:t>F</w:t>
      </w:r>
      <w:r w:rsidR="00002438">
        <w:rPr>
          <w:rFonts w:eastAsia="Malgun Gothic"/>
          <w:bCs/>
          <w:lang w:val="en-US"/>
        </w:rPr>
        <w:t>-1}</w:t>
      </w:r>
      <w:r w:rsidR="00002438" w:rsidRPr="00002438">
        <w:rPr>
          <w:rFonts w:eastAsia="Malgun Gothic"/>
          <w:bCs/>
          <w:lang w:val="en-US"/>
        </w:rPr>
        <w:t>.</w:t>
      </w:r>
      <w:r w:rsidR="00002438">
        <w:rPr>
          <w:rFonts w:eastAsia="Malgun Gothic"/>
          <w:bCs/>
          <w:lang w:val="en-US"/>
        </w:rPr>
        <w:t xml:space="preserve"> </w:t>
      </w:r>
      <w:proofErr w:type="spellStart"/>
      <w:r w:rsidR="0092331A" w:rsidRPr="00002438">
        <w:rPr>
          <w:rFonts w:eastAsia="Malgun Gothic"/>
          <w:bCs/>
          <w:lang w:val="en-US"/>
        </w:rPr>
        <w:t>k</w:t>
      </w:r>
      <w:r w:rsidR="0092331A" w:rsidRPr="00002438">
        <w:rPr>
          <w:rFonts w:eastAsia="Malgun Gothic"/>
          <w:bCs/>
          <w:vertAlign w:val="subscript"/>
          <w:lang w:val="en-US"/>
        </w:rPr>
        <w:t>hopping</w:t>
      </w:r>
      <w:proofErr w:type="spellEnd"/>
      <w:r w:rsidR="0092331A" w:rsidRPr="00002438">
        <w:rPr>
          <w:rFonts w:eastAsia="Malgun Gothic" w:hint="eastAsia"/>
          <w:bCs/>
          <w:lang w:val="en-US"/>
        </w:rPr>
        <w:t xml:space="preserve"> </w:t>
      </w:r>
      <w:r w:rsidR="0092331A" w:rsidRPr="00002438">
        <w:rPr>
          <w:rFonts w:eastAsia="Malgun Gothic"/>
          <w:bCs/>
          <w:lang w:val="en-US"/>
        </w:rPr>
        <w:t>is same for all SRS occasions with</w:t>
      </w:r>
      <w:r w:rsidR="0092331A" w:rsidRPr="00002438">
        <w:rPr>
          <w:rFonts w:eastAsia="Malgun Gothic" w:hint="eastAsia"/>
          <w:bCs/>
          <w:lang w:val="en-US"/>
        </w:rPr>
        <w:t>in</w:t>
      </w:r>
      <w:r w:rsidR="0092331A" w:rsidRPr="00002438">
        <w:rPr>
          <w:rFonts w:eastAsia="Malgun Gothic"/>
          <w:bCs/>
          <w:lang w:val="en-US"/>
        </w:rPr>
        <w:t xml:space="preserve"> a legacy FH period but</w:t>
      </w:r>
      <w:r w:rsidR="0092331A">
        <w:rPr>
          <w:rFonts w:eastAsia="Malgun Gothic"/>
          <w:bCs/>
          <w:lang w:val="en-US"/>
        </w:rPr>
        <w:t xml:space="preserve"> can hop</w:t>
      </w:r>
      <w:r w:rsidR="0092331A" w:rsidRPr="00002438">
        <w:rPr>
          <w:rFonts w:eastAsia="Malgun Gothic"/>
          <w:bCs/>
          <w:lang w:val="en-US"/>
        </w:rPr>
        <w:t xml:space="preserve"> across legacy FH periods</w:t>
      </w:r>
      <w:r w:rsidR="0092331A">
        <w:rPr>
          <w:rFonts w:eastAsia="Malgun Gothic"/>
          <w:bCs/>
          <w:lang w:val="en-US"/>
        </w:rPr>
        <w:t xml:space="preserve">. When the hopping of </w:t>
      </w:r>
      <w:proofErr w:type="spellStart"/>
      <w:r w:rsidR="0092331A" w:rsidRPr="00002438">
        <w:rPr>
          <w:rFonts w:eastAsia="Malgun Gothic"/>
          <w:bCs/>
          <w:lang w:val="en-US"/>
        </w:rPr>
        <w:t>k</w:t>
      </w:r>
      <w:r w:rsidR="0092331A" w:rsidRPr="00002438">
        <w:rPr>
          <w:rFonts w:eastAsia="Malgun Gothic"/>
          <w:bCs/>
          <w:vertAlign w:val="subscript"/>
          <w:lang w:val="en-US"/>
        </w:rPr>
        <w:t>hopping</w:t>
      </w:r>
      <w:proofErr w:type="spellEnd"/>
      <w:r w:rsidR="0092331A">
        <w:rPr>
          <w:rFonts w:eastAsia="Malgun Gothic"/>
          <w:bCs/>
          <w:lang w:val="en-US"/>
        </w:rPr>
        <w:t xml:space="preserve"> is not enabled, it </w:t>
      </w:r>
      <w:r w:rsidR="0092331A" w:rsidRPr="00305120">
        <w:rPr>
          <w:rFonts w:eastAsia="Microsoft YaHei"/>
        </w:rPr>
        <w:t>is fixed to be 0 for all SRS symbols</w:t>
      </w:r>
      <w:r w:rsidR="0092331A">
        <w:rPr>
          <w:rFonts w:eastAsia="Microsoft YaHei"/>
        </w:rPr>
        <w:t xml:space="preserve">. </w:t>
      </w:r>
      <w:r w:rsidR="00162A2D">
        <w:rPr>
          <w:rFonts w:eastAsia="Malgun Gothic"/>
          <w:bCs/>
          <w:lang w:val="en-US"/>
        </w:rPr>
        <w:t xml:space="preserve">When the hopping of </w:t>
      </w:r>
      <w:proofErr w:type="spellStart"/>
      <w:r w:rsidR="00162A2D" w:rsidRPr="00002438">
        <w:rPr>
          <w:rFonts w:eastAsia="Malgun Gothic"/>
          <w:bCs/>
          <w:lang w:val="en-US"/>
        </w:rPr>
        <w:t>k</w:t>
      </w:r>
      <w:r w:rsidR="00162A2D" w:rsidRPr="00002438">
        <w:rPr>
          <w:rFonts w:eastAsia="Malgun Gothic"/>
          <w:bCs/>
          <w:vertAlign w:val="subscript"/>
          <w:lang w:val="en-US"/>
        </w:rPr>
        <w:t>hopping</w:t>
      </w:r>
      <w:proofErr w:type="spellEnd"/>
      <w:r w:rsidR="00162A2D">
        <w:rPr>
          <w:rFonts w:eastAsia="Malgun Gothic"/>
          <w:bCs/>
          <w:lang w:val="en-US"/>
        </w:rPr>
        <w:t xml:space="preserve"> is enabled,</w:t>
      </w:r>
      <w:r w:rsidR="00162A2D">
        <w:rPr>
          <w:rFonts w:eastAsia="Microsoft YaHei"/>
        </w:rPr>
        <w:t xml:space="preserve"> one hopping pattern is supported for each P</w:t>
      </w:r>
      <w:r w:rsidR="00162A2D" w:rsidRPr="00162A2D">
        <w:rPr>
          <w:rFonts w:eastAsia="Microsoft YaHei"/>
          <w:vertAlign w:val="subscript"/>
        </w:rPr>
        <w:t>F</w:t>
      </w:r>
      <w:r w:rsidR="00162A2D">
        <w:rPr>
          <w:rFonts w:eastAsia="Microsoft YaHei"/>
        </w:rPr>
        <w:t xml:space="preserve"> value.</w:t>
      </w:r>
    </w:p>
    <w:p w14:paraId="58E14F9C" w14:textId="2A7FBABE" w:rsidR="00162A2D" w:rsidRPr="006F2307" w:rsidRDefault="006F2307" w:rsidP="00ED4322">
      <w:pPr>
        <w:pStyle w:val="ListParagraph"/>
        <w:numPr>
          <w:ilvl w:val="0"/>
          <w:numId w:val="30"/>
        </w:numPr>
        <w:spacing w:after="0"/>
        <w:jc w:val="both"/>
      </w:pPr>
      <w:r>
        <w:rPr>
          <w:rFonts w:eastAsia="DengXian" w:hint="eastAsia"/>
          <w:lang w:eastAsia="zh-CN"/>
        </w:rPr>
        <w:t>C</w:t>
      </w:r>
      <w:r>
        <w:rPr>
          <w:rFonts w:eastAsia="DengXian"/>
          <w:lang w:eastAsia="zh-CN"/>
        </w:rPr>
        <w:t xml:space="preserve">omb 8: Rel-17 supports comb-8 </w:t>
      </w:r>
      <w:r w:rsidRPr="006F2307">
        <w:rPr>
          <w:rFonts w:eastAsia="DengXian"/>
          <w:lang w:eastAsia="zh-CN"/>
        </w:rPr>
        <w:t>for SRS other than for positioning</w:t>
      </w:r>
      <w:r>
        <w:rPr>
          <w:rFonts w:eastAsia="DengXian"/>
          <w:lang w:eastAsia="zh-CN"/>
        </w:rPr>
        <w:t>, where the maximum number of cyclic shift</w:t>
      </w:r>
      <w:r w:rsidR="00130AE8">
        <w:rPr>
          <w:rFonts w:eastAsia="DengXian"/>
          <w:lang w:eastAsia="zh-CN"/>
        </w:rPr>
        <w:t>s</w:t>
      </w:r>
      <w:r>
        <w:rPr>
          <w:rFonts w:eastAsia="DengXian"/>
          <w:lang w:eastAsia="zh-CN"/>
        </w:rPr>
        <w:t xml:space="preserve"> is 6.</w:t>
      </w:r>
    </w:p>
    <w:p w14:paraId="13768BCE" w14:textId="77777777" w:rsidR="00AB448E" w:rsidRDefault="00AB448E" w:rsidP="00D67485">
      <w:pPr>
        <w:spacing w:after="0"/>
      </w:pPr>
    </w:p>
    <w:p w14:paraId="2F65A65E" w14:textId="77777777" w:rsidR="006F726A" w:rsidRPr="006E3539" w:rsidRDefault="006F726A" w:rsidP="00D67485">
      <w:pPr>
        <w:spacing w:after="0"/>
      </w:pPr>
    </w:p>
    <w:p w14:paraId="45DE0E51" w14:textId="04D18A51" w:rsidR="00D67485" w:rsidRPr="002F3B48" w:rsidRDefault="00D67485" w:rsidP="00D67485">
      <w:pPr>
        <w:spacing w:after="0"/>
        <w:rPr>
          <w:rFonts w:ascii="Arial" w:hAnsi="Arial" w:cs="Arial"/>
          <w:sz w:val="24"/>
        </w:rPr>
      </w:pPr>
      <w:r>
        <w:rPr>
          <w:rFonts w:ascii="Arial" w:hAnsi="Arial" w:cs="Arial"/>
          <w:sz w:val="24"/>
        </w:rPr>
        <w:t>2.4</w:t>
      </w:r>
      <w:r w:rsidRPr="002F3B48">
        <w:rPr>
          <w:rFonts w:ascii="Arial" w:hAnsi="Arial" w:cs="Arial"/>
          <w:sz w:val="24"/>
        </w:rPr>
        <w:t xml:space="preserve"> </w:t>
      </w:r>
      <w:r w:rsidRPr="002F3B48">
        <w:rPr>
          <w:rFonts w:ascii="Arial" w:hAnsi="Arial" w:cs="Arial"/>
          <w:sz w:val="24"/>
        </w:rPr>
        <w:tab/>
      </w:r>
      <w:r w:rsidR="00EE045F">
        <w:rPr>
          <w:rFonts w:ascii="Arial" w:hAnsi="Arial" w:cs="Arial"/>
          <w:sz w:val="24"/>
        </w:rPr>
        <w:t>CSI</w:t>
      </w:r>
      <w:r w:rsidRPr="002F3B48">
        <w:rPr>
          <w:rFonts w:ascii="Arial" w:hAnsi="Arial" w:cs="Arial"/>
          <w:sz w:val="24"/>
        </w:rPr>
        <w:t xml:space="preserve"> </w:t>
      </w:r>
      <w:r w:rsidR="00EE045F">
        <w:rPr>
          <w:rFonts w:ascii="Arial" w:hAnsi="Arial" w:cs="Arial"/>
          <w:sz w:val="24"/>
        </w:rPr>
        <w:t xml:space="preserve">for </w:t>
      </w:r>
      <w:proofErr w:type="spellStart"/>
      <w:r w:rsidR="00EE045F">
        <w:rPr>
          <w:rFonts w:ascii="Arial" w:hAnsi="Arial" w:cs="Arial"/>
          <w:sz w:val="24"/>
        </w:rPr>
        <w:t>mTRP</w:t>
      </w:r>
      <w:proofErr w:type="spellEnd"/>
      <w:r w:rsidR="00EE045F">
        <w:rPr>
          <w:rFonts w:ascii="Arial" w:hAnsi="Arial" w:cs="Arial"/>
          <w:sz w:val="24"/>
        </w:rPr>
        <w:t xml:space="preserve"> and FDD reciprocity</w:t>
      </w:r>
    </w:p>
    <w:p w14:paraId="15D4E75E" w14:textId="77777777" w:rsidR="002440FB" w:rsidRPr="002440FB" w:rsidRDefault="002440FB" w:rsidP="002440FB">
      <w:pPr>
        <w:spacing w:after="0"/>
        <w:ind w:firstLine="270"/>
        <w:jc w:val="both"/>
      </w:pPr>
      <w:r w:rsidRPr="002440FB">
        <w:lastRenderedPageBreak/>
        <w:t xml:space="preserve">The Rel-17 </w:t>
      </w:r>
      <w:proofErr w:type="spellStart"/>
      <w:r w:rsidRPr="002440FB">
        <w:t>eType</w:t>
      </w:r>
      <w:proofErr w:type="spellEnd"/>
      <w:r w:rsidRPr="002440FB">
        <w:t xml:space="preserve">-II port selection (PS) codebook assumes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sSub>
          <m:sSubPr>
            <m:ctrlPr>
              <w:rPr>
                <w:rFonts w:ascii="Cambria Math" w:hAnsi="Cambria Math"/>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hAnsi="Cambria Math"/>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w:r w:rsidRPr="002440FB">
        <w:t xml:space="preserve"> codebook structure as Rell-16. The key enhancement comes from exploiting angle-delay reciprocity in DL and UL which is applicable for both TDD and FDD. By doing so, spatial domain and frequency domain compression operation inherent in the Rel-16 </w:t>
      </w:r>
      <w:proofErr w:type="spellStart"/>
      <w:r w:rsidRPr="002440FB">
        <w:t>eType</w:t>
      </w:r>
      <w:proofErr w:type="spellEnd"/>
      <w:r w:rsidRPr="002440FB">
        <w:t xml:space="preserve">-II PS codebook can be shifted toward the gNB thereby reducing UE computational burden. While the amplitude and phase per channel/ propagation path are generally not DL and UL reciprocal, the gNB can employ angle-delay information obtained from UL measurements to </w:t>
      </w:r>
      <w:proofErr w:type="spellStart"/>
      <w:r w:rsidRPr="002440FB">
        <w:t>precode</w:t>
      </w:r>
      <w:proofErr w:type="spellEnd"/>
      <w:r w:rsidRPr="002440FB">
        <w:t xml:space="preserve"> UE-specific CSI-RS. Therefore from CSI measurement perspective at the UE, a subset of CSI-RS ports based on beamformed CSI-RS resource are first selected by the UE and represented by </w:t>
      </w:r>
      <m:oMath>
        <m:sSub>
          <m:sSubPr>
            <m:ctrlPr>
              <w:rPr>
                <w:rFonts w:ascii="Cambria Math" w:hAnsi="Cambria Math"/>
              </w:rPr>
            </m:ctrlPr>
          </m:sSubPr>
          <m:e>
            <m:r>
              <m:rPr>
                <m:sty m:val="bi"/>
              </m:rPr>
              <w:rPr>
                <w:rFonts w:ascii="Cambria Math" w:hAnsi="Cambria Math"/>
              </w:rPr>
              <m:t>W</m:t>
            </m:r>
          </m:e>
          <m:sub>
            <m:r>
              <m:rPr>
                <m:sty m:val="p"/>
              </m:rPr>
              <w:rPr>
                <w:rFonts w:ascii="Cambria Math" w:hAnsi="Cambria Math"/>
              </w:rPr>
              <m:t>1</m:t>
            </m:r>
          </m:sub>
        </m:sSub>
      </m:oMath>
      <w:r w:rsidRPr="002440FB">
        <w:t xml:space="preserve">, frequency domain compression is represented by </w:t>
      </w:r>
      <w:proofErr w:type="spellStart"/>
      <w:r w:rsidRPr="002440FB">
        <w:t>Wf</w:t>
      </w:r>
      <w:proofErr w:type="spellEnd"/>
      <w:r w:rsidRPr="002440FB">
        <w:t xml:space="preserve">  giving rise to up to two selected DFT vectors, and lastly linear combination coefficients are quantized in amplitude and phase by W2 with configurable compression factors up to 1 by removing negligible coefficients. </w:t>
      </w:r>
    </w:p>
    <w:p w14:paraId="23BCBFDE" w14:textId="74E11952" w:rsidR="002440FB" w:rsidRPr="002440FB" w:rsidRDefault="002440FB" w:rsidP="002440FB">
      <w:pPr>
        <w:spacing w:after="0"/>
        <w:ind w:firstLine="270"/>
        <w:jc w:val="both"/>
      </w:pPr>
      <w:r w:rsidRPr="002440FB">
        <w:t>Moreover, to improve CSI measurement accuracy over NCJT transmission in Rel-16, Rel-17 NCJT CSI enhancement supports a joint channel measurement at the UE by configuring a CMR pair within the same CSI-RS resource set corresponding to two TRPs respectively. Therefore a CSI-RS resource set is divided as two CMR groups so that each CMR pair consists of one CMR from Group 1 and one CMR from Group 2. From CSI reporting perspective, two modes are supported, whereas Mode 1 is to report X (X=0,1,2) single-TRP CSI and one NCJT CSI versus Mode 2 is to report one single-TRP or NCJT CSI. For the reporting quantity of NCJT CSI (up to rank 4), the main differentiation from legacy releases is that only single CQI/CRI is reported per CMR pair by jointly considering the best companion PMI/RI from two CMRs simultaneously to mitigate TRP interference. Also to use CSI-RS resources and configurations efficiently, sharing mechanism can be enabled by the gNB to reuse a CMR pair (configured for NCJT CSI measurement) for single-TRP CSI measurement if need</w:t>
      </w:r>
      <w:r w:rsidR="00675D14">
        <w:t>ed</w:t>
      </w:r>
      <w:r w:rsidRPr="002440FB">
        <w:t xml:space="preserve">. </w:t>
      </w:r>
    </w:p>
    <w:p w14:paraId="2DE0401D" w14:textId="28EDD0BB" w:rsidR="00876447" w:rsidRPr="00916091" w:rsidRDefault="00876447" w:rsidP="006D05D7">
      <w:pPr>
        <w:spacing w:after="0"/>
      </w:pPr>
    </w:p>
    <w:p w14:paraId="0A2973B1" w14:textId="77777777" w:rsidR="00916091" w:rsidRDefault="00916091" w:rsidP="00916091">
      <w:pPr>
        <w:pStyle w:val="Heading3"/>
      </w:pPr>
      <w:r>
        <w:t>3</w:t>
      </w:r>
      <w:r w:rsidRPr="00A079D3">
        <w:tab/>
      </w:r>
      <w:r w:rsidR="004B3C92">
        <w:t>References</w:t>
      </w:r>
    </w:p>
    <w:p w14:paraId="2EC547C6" w14:textId="115680BA" w:rsidR="00966E1A" w:rsidRDefault="00EE045F" w:rsidP="00A65273">
      <w:pPr>
        <w:spacing w:after="0"/>
      </w:pPr>
      <w:r>
        <w:t>[1]</w:t>
      </w:r>
      <w:r>
        <w:tab/>
        <w:t>RP-211586</w:t>
      </w:r>
      <w:r w:rsidR="00966E1A">
        <w:t xml:space="preserve">, Samsung, Revised WID: </w:t>
      </w:r>
      <w:r>
        <w:t xml:space="preserve">Further </w:t>
      </w:r>
      <w:r w:rsidR="00966E1A">
        <w:t>Enhancements on MIMO for NR</w:t>
      </w:r>
    </w:p>
    <w:p w14:paraId="615F4048" w14:textId="77777777" w:rsidR="00966E1A" w:rsidRPr="004345A1" w:rsidRDefault="00966E1A" w:rsidP="00A65273">
      <w:pPr>
        <w:spacing w:after="0"/>
      </w:pPr>
    </w:p>
    <w:sectPr w:rsidR="00966E1A" w:rsidRPr="004345A1"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8CA59" w14:textId="77777777" w:rsidR="005E5859" w:rsidRDefault="005E5859">
      <w:r>
        <w:separator/>
      </w:r>
    </w:p>
  </w:endnote>
  <w:endnote w:type="continuationSeparator" w:id="0">
    <w:p w14:paraId="3AB1A763" w14:textId="77777777" w:rsidR="005E5859" w:rsidRDefault="005E5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831BD" w14:textId="527E3097" w:rsidR="006E3539" w:rsidRDefault="006E3539">
    <w:pPr>
      <w:pStyle w:val="Footer"/>
    </w:pPr>
    <w:r>
      <w:rPr>
        <w:rStyle w:val="PageNumber"/>
      </w:rPr>
      <w:fldChar w:fldCharType="begin"/>
    </w:r>
    <w:r>
      <w:rPr>
        <w:rStyle w:val="PageNumber"/>
      </w:rPr>
      <w:instrText xml:space="preserve"> PAGE </w:instrText>
    </w:r>
    <w:r>
      <w:rPr>
        <w:rStyle w:val="PageNumber"/>
      </w:rPr>
      <w:fldChar w:fldCharType="separate"/>
    </w:r>
    <w:r w:rsidR="00526FDA">
      <w:rPr>
        <w:rStyle w:val="PageNumber"/>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26FDA">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FCA86" w14:textId="77777777" w:rsidR="005E5859" w:rsidRDefault="005E5859">
      <w:r>
        <w:separator/>
      </w:r>
    </w:p>
  </w:footnote>
  <w:footnote w:type="continuationSeparator" w:id="0">
    <w:p w14:paraId="4C6CAA93" w14:textId="77777777" w:rsidR="005E5859" w:rsidRDefault="005E5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7C22908"/>
    <w:multiLevelType w:val="hybridMultilevel"/>
    <w:tmpl w:val="46DE1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B2ACF"/>
    <w:multiLevelType w:val="hybridMultilevel"/>
    <w:tmpl w:val="27A656C6"/>
    <w:lvl w:ilvl="0" w:tplc="80FCADF6">
      <w:start w:val="2"/>
      <w:numFmt w:val="bullet"/>
      <w:lvlText w:val="-"/>
      <w:lvlJc w:val="left"/>
      <w:pPr>
        <w:ind w:left="620" w:hanging="420"/>
      </w:pPr>
      <w:rPr>
        <w:rFonts w:ascii="Arial" w:eastAsia="Times New Roma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6FB11F5"/>
    <w:multiLevelType w:val="hybridMultilevel"/>
    <w:tmpl w:val="9A1A5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D4F3DA4"/>
    <w:multiLevelType w:val="hybridMultilevel"/>
    <w:tmpl w:val="AEBCD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873AB"/>
    <w:multiLevelType w:val="hybridMultilevel"/>
    <w:tmpl w:val="685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A0CE6"/>
    <w:multiLevelType w:val="hybridMultilevel"/>
    <w:tmpl w:val="ECDAF21A"/>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7641C9E"/>
    <w:multiLevelType w:val="hybridMultilevel"/>
    <w:tmpl w:val="33243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BB0BE3"/>
    <w:multiLevelType w:val="hybridMultilevel"/>
    <w:tmpl w:val="4844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591D1C"/>
    <w:multiLevelType w:val="hybridMultilevel"/>
    <w:tmpl w:val="0A34C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3"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5" w15:restartNumberingAfterBreak="0">
    <w:nsid w:val="71B44EB7"/>
    <w:multiLevelType w:val="hybridMultilevel"/>
    <w:tmpl w:val="010C9788"/>
    <w:lvl w:ilvl="0" w:tplc="FDE00FA2">
      <w:start w:val="2"/>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
      <w:lvlJc w:val="left"/>
      <w:pPr>
        <w:ind w:left="1110" w:hanging="420"/>
      </w:pPr>
      <w:rPr>
        <w:rFonts w:ascii="Wingdings" w:hAnsi="Wingdings" w:hint="default"/>
      </w:rPr>
    </w:lvl>
    <w:lvl w:ilvl="2" w:tplc="04090005" w:tentative="1">
      <w:start w:val="1"/>
      <w:numFmt w:val="bullet"/>
      <w:lvlText w:val=""/>
      <w:lvlJc w:val="left"/>
      <w:pPr>
        <w:ind w:left="1530" w:hanging="420"/>
      </w:pPr>
      <w:rPr>
        <w:rFonts w:ascii="Wingdings" w:hAnsi="Wingdings" w:hint="default"/>
      </w:rPr>
    </w:lvl>
    <w:lvl w:ilvl="3" w:tplc="04090001" w:tentative="1">
      <w:start w:val="1"/>
      <w:numFmt w:val="bullet"/>
      <w:lvlText w:val=""/>
      <w:lvlJc w:val="left"/>
      <w:pPr>
        <w:ind w:left="1950" w:hanging="420"/>
      </w:pPr>
      <w:rPr>
        <w:rFonts w:ascii="Wingdings" w:hAnsi="Wingdings" w:hint="default"/>
      </w:rPr>
    </w:lvl>
    <w:lvl w:ilvl="4" w:tplc="04090003" w:tentative="1">
      <w:start w:val="1"/>
      <w:numFmt w:val="bullet"/>
      <w:lvlText w:val=""/>
      <w:lvlJc w:val="left"/>
      <w:pPr>
        <w:ind w:left="2370" w:hanging="420"/>
      </w:pPr>
      <w:rPr>
        <w:rFonts w:ascii="Wingdings" w:hAnsi="Wingdings" w:hint="default"/>
      </w:rPr>
    </w:lvl>
    <w:lvl w:ilvl="5" w:tplc="04090005" w:tentative="1">
      <w:start w:val="1"/>
      <w:numFmt w:val="bullet"/>
      <w:lvlText w:val=""/>
      <w:lvlJc w:val="left"/>
      <w:pPr>
        <w:ind w:left="2790" w:hanging="420"/>
      </w:pPr>
      <w:rPr>
        <w:rFonts w:ascii="Wingdings" w:hAnsi="Wingdings" w:hint="default"/>
      </w:rPr>
    </w:lvl>
    <w:lvl w:ilvl="6" w:tplc="04090001" w:tentative="1">
      <w:start w:val="1"/>
      <w:numFmt w:val="bullet"/>
      <w:lvlText w:val=""/>
      <w:lvlJc w:val="left"/>
      <w:pPr>
        <w:ind w:left="3210" w:hanging="420"/>
      </w:pPr>
      <w:rPr>
        <w:rFonts w:ascii="Wingdings" w:hAnsi="Wingdings" w:hint="default"/>
      </w:rPr>
    </w:lvl>
    <w:lvl w:ilvl="7" w:tplc="04090003" w:tentative="1">
      <w:start w:val="1"/>
      <w:numFmt w:val="bullet"/>
      <w:lvlText w:val=""/>
      <w:lvlJc w:val="left"/>
      <w:pPr>
        <w:ind w:left="3630" w:hanging="420"/>
      </w:pPr>
      <w:rPr>
        <w:rFonts w:ascii="Wingdings" w:hAnsi="Wingdings" w:hint="default"/>
      </w:rPr>
    </w:lvl>
    <w:lvl w:ilvl="8" w:tplc="04090005" w:tentative="1">
      <w:start w:val="1"/>
      <w:numFmt w:val="bullet"/>
      <w:lvlText w:val=""/>
      <w:lvlJc w:val="left"/>
      <w:pPr>
        <w:ind w:left="4050" w:hanging="420"/>
      </w:pPr>
      <w:rPr>
        <w:rFonts w:ascii="Wingdings" w:hAnsi="Wingdings" w:hint="default"/>
      </w:rPr>
    </w:lvl>
  </w:abstractNum>
  <w:abstractNum w:abstractNumId="26" w15:restartNumberingAfterBreak="0">
    <w:nsid w:val="73031AA1"/>
    <w:multiLevelType w:val="hybridMultilevel"/>
    <w:tmpl w:val="8DB0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362753"/>
    <w:multiLevelType w:val="hybridMultilevel"/>
    <w:tmpl w:val="B900C940"/>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8" w15:restartNumberingAfterBreak="0">
    <w:nsid w:val="7FFD69FC"/>
    <w:multiLevelType w:val="hybridMultilevel"/>
    <w:tmpl w:val="45A67ADC"/>
    <w:lvl w:ilvl="0" w:tplc="50345FE4">
      <w:start w:val="1"/>
      <w:numFmt w:val="decimal"/>
      <w:lvlText w:val="%1)"/>
      <w:lvlJc w:val="left"/>
      <w:pPr>
        <w:ind w:left="980" w:hanging="360"/>
      </w:pPr>
      <w:rPr>
        <w:rFonts w:hint="default"/>
      </w:rPr>
    </w:lvl>
    <w:lvl w:ilvl="1" w:tplc="04090019" w:tentative="1">
      <w:start w:val="1"/>
      <w:numFmt w:val="lowerLetter"/>
      <w:lvlText w:val="%2."/>
      <w:lvlJc w:val="left"/>
      <w:pPr>
        <w:ind w:left="1700" w:hanging="360"/>
      </w:pPr>
    </w:lvl>
    <w:lvl w:ilvl="2" w:tplc="0409001B" w:tentative="1">
      <w:start w:val="1"/>
      <w:numFmt w:val="lowerRoman"/>
      <w:lvlText w:val="%3."/>
      <w:lvlJc w:val="right"/>
      <w:pPr>
        <w:ind w:left="2420" w:hanging="180"/>
      </w:pPr>
    </w:lvl>
    <w:lvl w:ilvl="3" w:tplc="0409000F" w:tentative="1">
      <w:start w:val="1"/>
      <w:numFmt w:val="decimal"/>
      <w:lvlText w:val="%4."/>
      <w:lvlJc w:val="left"/>
      <w:pPr>
        <w:ind w:left="3140" w:hanging="360"/>
      </w:pPr>
    </w:lvl>
    <w:lvl w:ilvl="4" w:tplc="04090019" w:tentative="1">
      <w:start w:val="1"/>
      <w:numFmt w:val="lowerLetter"/>
      <w:lvlText w:val="%5."/>
      <w:lvlJc w:val="left"/>
      <w:pPr>
        <w:ind w:left="3860" w:hanging="360"/>
      </w:pPr>
    </w:lvl>
    <w:lvl w:ilvl="5" w:tplc="0409001B" w:tentative="1">
      <w:start w:val="1"/>
      <w:numFmt w:val="lowerRoman"/>
      <w:lvlText w:val="%6."/>
      <w:lvlJc w:val="right"/>
      <w:pPr>
        <w:ind w:left="4580" w:hanging="180"/>
      </w:pPr>
    </w:lvl>
    <w:lvl w:ilvl="6" w:tplc="0409000F" w:tentative="1">
      <w:start w:val="1"/>
      <w:numFmt w:val="decimal"/>
      <w:lvlText w:val="%7."/>
      <w:lvlJc w:val="left"/>
      <w:pPr>
        <w:ind w:left="5300" w:hanging="360"/>
      </w:pPr>
    </w:lvl>
    <w:lvl w:ilvl="7" w:tplc="04090019" w:tentative="1">
      <w:start w:val="1"/>
      <w:numFmt w:val="lowerLetter"/>
      <w:lvlText w:val="%8."/>
      <w:lvlJc w:val="left"/>
      <w:pPr>
        <w:ind w:left="6020" w:hanging="360"/>
      </w:pPr>
    </w:lvl>
    <w:lvl w:ilvl="8" w:tplc="0409001B" w:tentative="1">
      <w:start w:val="1"/>
      <w:numFmt w:val="lowerRoman"/>
      <w:lvlText w:val="%9."/>
      <w:lvlJc w:val="right"/>
      <w:pPr>
        <w:ind w:left="6740" w:hanging="180"/>
      </w:pPr>
    </w:lvl>
  </w:abstractNum>
  <w:num w:numId="1">
    <w:abstractNumId w:val="2"/>
  </w:num>
  <w:num w:numId="2">
    <w:abstractNumId w:val="2"/>
  </w:num>
  <w:num w:numId="3">
    <w:abstractNumId w:val="22"/>
  </w:num>
  <w:num w:numId="4">
    <w:abstractNumId w:val="7"/>
  </w:num>
  <w:num w:numId="5">
    <w:abstractNumId w:val="17"/>
  </w:num>
  <w:num w:numId="6">
    <w:abstractNumId w:val="6"/>
  </w:num>
  <w:num w:numId="7">
    <w:abstractNumId w:val="18"/>
  </w:num>
  <w:num w:numId="8">
    <w:abstractNumId w:val="20"/>
  </w:num>
  <w:num w:numId="9">
    <w:abstractNumId w:val="23"/>
  </w:num>
  <w:num w:numId="10">
    <w:abstractNumId w:val="15"/>
  </w:num>
  <w:num w:numId="11">
    <w:abstractNumId w:val="12"/>
  </w:num>
  <w:num w:numId="12">
    <w:abstractNumId w:val="0"/>
  </w:num>
  <w:num w:numId="13">
    <w:abstractNumId w:val="1"/>
  </w:num>
  <w:num w:numId="14">
    <w:abstractNumId w:val="19"/>
  </w:num>
  <w:num w:numId="15">
    <w:abstractNumId w:val="14"/>
  </w:num>
  <w:num w:numId="16">
    <w:abstractNumId w:val="13"/>
  </w:num>
  <w:num w:numId="17">
    <w:abstractNumId w:val="8"/>
  </w:num>
  <w:num w:numId="18">
    <w:abstractNumId w:val="24"/>
  </w:num>
  <w:num w:numId="19">
    <w:abstractNumId w:val="26"/>
  </w:num>
  <w:num w:numId="20">
    <w:abstractNumId w:val="9"/>
  </w:num>
  <w:num w:numId="21">
    <w:abstractNumId w:val="16"/>
  </w:num>
  <w:num w:numId="22">
    <w:abstractNumId w:val="27"/>
  </w:num>
  <w:num w:numId="23">
    <w:abstractNumId w:val="11"/>
  </w:num>
  <w:num w:numId="24">
    <w:abstractNumId w:val="3"/>
  </w:num>
  <w:num w:numId="25">
    <w:abstractNumId w:val="5"/>
  </w:num>
  <w:num w:numId="26">
    <w:abstractNumId w:val="4"/>
  </w:num>
  <w:num w:numId="27">
    <w:abstractNumId w:val="10"/>
  </w:num>
  <w:num w:numId="28">
    <w:abstractNumId w:val="21"/>
  </w:num>
  <w:num w:numId="29">
    <w:abstractNumId w:val="28"/>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05F9"/>
    <w:rsid w:val="0000115F"/>
    <w:rsid w:val="00001B91"/>
    <w:rsid w:val="00001C6D"/>
    <w:rsid w:val="0000238A"/>
    <w:rsid w:val="00002438"/>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0F25"/>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369"/>
    <w:rsid w:val="000560B4"/>
    <w:rsid w:val="00056A23"/>
    <w:rsid w:val="00056A79"/>
    <w:rsid w:val="00056BFB"/>
    <w:rsid w:val="00056E4A"/>
    <w:rsid w:val="000575CB"/>
    <w:rsid w:val="00057621"/>
    <w:rsid w:val="00057BBB"/>
    <w:rsid w:val="00061605"/>
    <w:rsid w:val="00061D84"/>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68C"/>
    <w:rsid w:val="00080DB5"/>
    <w:rsid w:val="00080E9D"/>
    <w:rsid w:val="00081B5F"/>
    <w:rsid w:val="00081CA1"/>
    <w:rsid w:val="00082CCF"/>
    <w:rsid w:val="000831AA"/>
    <w:rsid w:val="000833D1"/>
    <w:rsid w:val="00083FE1"/>
    <w:rsid w:val="0008533C"/>
    <w:rsid w:val="00085A2C"/>
    <w:rsid w:val="0008652D"/>
    <w:rsid w:val="000875ED"/>
    <w:rsid w:val="00091AAD"/>
    <w:rsid w:val="00092102"/>
    <w:rsid w:val="000931FF"/>
    <w:rsid w:val="000937FD"/>
    <w:rsid w:val="000949C3"/>
    <w:rsid w:val="000956D2"/>
    <w:rsid w:val="00096228"/>
    <w:rsid w:val="00097048"/>
    <w:rsid w:val="0009738D"/>
    <w:rsid w:val="0009758A"/>
    <w:rsid w:val="00097833"/>
    <w:rsid w:val="000A00AD"/>
    <w:rsid w:val="000A0820"/>
    <w:rsid w:val="000A2D67"/>
    <w:rsid w:val="000A4353"/>
    <w:rsid w:val="000A507A"/>
    <w:rsid w:val="000A56D6"/>
    <w:rsid w:val="000A5961"/>
    <w:rsid w:val="000A61B4"/>
    <w:rsid w:val="000A76F5"/>
    <w:rsid w:val="000A780E"/>
    <w:rsid w:val="000A7850"/>
    <w:rsid w:val="000B005A"/>
    <w:rsid w:val="000B098E"/>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4BD8"/>
    <w:rsid w:val="000D5B70"/>
    <w:rsid w:val="000D6684"/>
    <w:rsid w:val="000D6723"/>
    <w:rsid w:val="000D6ADA"/>
    <w:rsid w:val="000D6E46"/>
    <w:rsid w:val="000D724B"/>
    <w:rsid w:val="000D7288"/>
    <w:rsid w:val="000E06E8"/>
    <w:rsid w:val="000E0D95"/>
    <w:rsid w:val="000E0E1C"/>
    <w:rsid w:val="000E0E4F"/>
    <w:rsid w:val="000E1673"/>
    <w:rsid w:val="000E1BBF"/>
    <w:rsid w:val="000E2200"/>
    <w:rsid w:val="000E2CCA"/>
    <w:rsid w:val="000E5068"/>
    <w:rsid w:val="000E59B2"/>
    <w:rsid w:val="000E5E31"/>
    <w:rsid w:val="000E678C"/>
    <w:rsid w:val="000E67E3"/>
    <w:rsid w:val="000E6E3D"/>
    <w:rsid w:val="000F1992"/>
    <w:rsid w:val="000F2D35"/>
    <w:rsid w:val="000F3D9C"/>
    <w:rsid w:val="000F3FD7"/>
    <w:rsid w:val="000F5285"/>
    <w:rsid w:val="000F5509"/>
    <w:rsid w:val="000F6C14"/>
    <w:rsid w:val="00100084"/>
    <w:rsid w:val="00101101"/>
    <w:rsid w:val="00101DAE"/>
    <w:rsid w:val="001020E8"/>
    <w:rsid w:val="00102144"/>
    <w:rsid w:val="0010216F"/>
    <w:rsid w:val="0010286A"/>
    <w:rsid w:val="00103164"/>
    <w:rsid w:val="001038EF"/>
    <w:rsid w:val="00104877"/>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485F"/>
    <w:rsid w:val="001173E1"/>
    <w:rsid w:val="00117653"/>
    <w:rsid w:val="00121202"/>
    <w:rsid w:val="00121208"/>
    <w:rsid w:val="00121DF3"/>
    <w:rsid w:val="0012239D"/>
    <w:rsid w:val="001227EC"/>
    <w:rsid w:val="00122CE3"/>
    <w:rsid w:val="00123085"/>
    <w:rsid w:val="00123CD1"/>
    <w:rsid w:val="00124F1D"/>
    <w:rsid w:val="0012503F"/>
    <w:rsid w:val="00125677"/>
    <w:rsid w:val="00125A8E"/>
    <w:rsid w:val="00126164"/>
    <w:rsid w:val="001262BE"/>
    <w:rsid w:val="001265BF"/>
    <w:rsid w:val="00127381"/>
    <w:rsid w:val="0013021E"/>
    <w:rsid w:val="00130AE8"/>
    <w:rsid w:val="00130F73"/>
    <w:rsid w:val="00131D4F"/>
    <w:rsid w:val="0013220E"/>
    <w:rsid w:val="00132A3E"/>
    <w:rsid w:val="00132C5E"/>
    <w:rsid w:val="00132F7C"/>
    <w:rsid w:val="00133104"/>
    <w:rsid w:val="00133C85"/>
    <w:rsid w:val="00135482"/>
    <w:rsid w:val="0013642E"/>
    <w:rsid w:val="00136DBE"/>
    <w:rsid w:val="001377A3"/>
    <w:rsid w:val="00137BBD"/>
    <w:rsid w:val="001405E2"/>
    <w:rsid w:val="001406F0"/>
    <w:rsid w:val="0014084F"/>
    <w:rsid w:val="00141273"/>
    <w:rsid w:val="00142154"/>
    <w:rsid w:val="001424DE"/>
    <w:rsid w:val="0014358D"/>
    <w:rsid w:val="00143DC8"/>
    <w:rsid w:val="00145CC5"/>
    <w:rsid w:val="00146000"/>
    <w:rsid w:val="00146024"/>
    <w:rsid w:val="00146106"/>
    <w:rsid w:val="001465BA"/>
    <w:rsid w:val="00146906"/>
    <w:rsid w:val="00146A13"/>
    <w:rsid w:val="00146C3D"/>
    <w:rsid w:val="00147438"/>
    <w:rsid w:val="00147E3E"/>
    <w:rsid w:val="00147EF2"/>
    <w:rsid w:val="0015072E"/>
    <w:rsid w:val="001508B3"/>
    <w:rsid w:val="00151A42"/>
    <w:rsid w:val="001521C5"/>
    <w:rsid w:val="00152ED0"/>
    <w:rsid w:val="00153451"/>
    <w:rsid w:val="00153CC4"/>
    <w:rsid w:val="00154EAA"/>
    <w:rsid w:val="00155421"/>
    <w:rsid w:val="00155742"/>
    <w:rsid w:val="001569C5"/>
    <w:rsid w:val="00156EE9"/>
    <w:rsid w:val="001571C2"/>
    <w:rsid w:val="001576D5"/>
    <w:rsid w:val="00160D86"/>
    <w:rsid w:val="001613C8"/>
    <w:rsid w:val="00161427"/>
    <w:rsid w:val="001620B8"/>
    <w:rsid w:val="00162A2D"/>
    <w:rsid w:val="00162BF0"/>
    <w:rsid w:val="00162C49"/>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A0E"/>
    <w:rsid w:val="00175EEA"/>
    <w:rsid w:val="001760A5"/>
    <w:rsid w:val="00176A09"/>
    <w:rsid w:val="00176A4E"/>
    <w:rsid w:val="00176AAC"/>
    <w:rsid w:val="00176B37"/>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5EAC"/>
    <w:rsid w:val="001C057C"/>
    <w:rsid w:val="001C0A2D"/>
    <w:rsid w:val="001C0BD4"/>
    <w:rsid w:val="001C18EB"/>
    <w:rsid w:val="001C194E"/>
    <w:rsid w:val="001C213E"/>
    <w:rsid w:val="001C2666"/>
    <w:rsid w:val="001C2995"/>
    <w:rsid w:val="001C35FB"/>
    <w:rsid w:val="001C5A71"/>
    <w:rsid w:val="001C5C1A"/>
    <w:rsid w:val="001C600D"/>
    <w:rsid w:val="001C692F"/>
    <w:rsid w:val="001C6A56"/>
    <w:rsid w:val="001C6F5D"/>
    <w:rsid w:val="001C6FC4"/>
    <w:rsid w:val="001C77CF"/>
    <w:rsid w:val="001D0164"/>
    <w:rsid w:val="001D111B"/>
    <w:rsid w:val="001D16B2"/>
    <w:rsid w:val="001D2F35"/>
    <w:rsid w:val="001D3B4A"/>
    <w:rsid w:val="001D4075"/>
    <w:rsid w:val="001D4421"/>
    <w:rsid w:val="001D48BB"/>
    <w:rsid w:val="001D4D78"/>
    <w:rsid w:val="001D57AC"/>
    <w:rsid w:val="001D5DD3"/>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67EE"/>
    <w:rsid w:val="001E718A"/>
    <w:rsid w:val="001F1F1B"/>
    <w:rsid w:val="001F2050"/>
    <w:rsid w:val="001F28AB"/>
    <w:rsid w:val="001F2D7C"/>
    <w:rsid w:val="001F3C2C"/>
    <w:rsid w:val="001F4166"/>
    <w:rsid w:val="001F4680"/>
    <w:rsid w:val="001F46BE"/>
    <w:rsid w:val="001F4C5F"/>
    <w:rsid w:val="001F54FB"/>
    <w:rsid w:val="001F609C"/>
    <w:rsid w:val="001F6D5A"/>
    <w:rsid w:val="001F7726"/>
    <w:rsid w:val="00200D76"/>
    <w:rsid w:val="0020114C"/>
    <w:rsid w:val="002016F6"/>
    <w:rsid w:val="00202451"/>
    <w:rsid w:val="002024ED"/>
    <w:rsid w:val="00202CF4"/>
    <w:rsid w:val="0020312C"/>
    <w:rsid w:val="00203DD3"/>
    <w:rsid w:val="0020425F"/>
    <w:rsid w:val="00204F09"/>
    <w:rsid w:val="00205819"/>
    <w:rsid w:val="00205935"/>
    <w:rsid w:val="00206415"/>
    <w:rsid w:val="002078E9"/>
    <w:rsid w:val="00210292"/>
    <w:rsid w:val="002112C3"/>
    <w:rsid w:val="002114D7"/>
    <w:rsid w:val="002119CF"/>
    <w:rsid w:val="00211D57"/>
    <w:rsid w:val="002134E6"/>
    <w:rsid w:val="00213BDD"/>
    <w:rsid w:val="00213D83"/>
    <w:rsid w:val="00214177"/>
    <w:rsid w:val="00214C61"/>
    <w:rsid w:val="00214D4A"/>
    <w:rsid w:val="00214D86"/>
    <w:rsid w:val="00215186"/>
    <w:rsid w:val="00215A1D"/>
    <w:rsid w:val="00216143"/>
    <w:rsid w:val="0021643B"/>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AC"/>
    <w:rsid w:val="002334E3"/>
    <w:rsid w:val="00233878"/>
    <w:rsid w:val="00233AE9"/>
    <w:rsid w:val="00235706"/>
    <w:rsid w:val="00235E9F"/>
    <w:rsid w:val="00235F30"/>
    <w:rsid w:val="002365F4"/>
    <w:rsid w:val="0023717B"/>
    <w:rsid w:val="00237808"/>
    <w:rsid w:val="00240369"/>
    <w:rsid w:val="002408A7"/>
    <w:rsid w:val="00241078"/>
    <w:rsid w:val="002423C0"/>
    <w:rsid w:val="00242A96"/>
    <w:rsid w:val="00242FC1"/>
    <w:rsid w:val="002440FB"/>
    <w:rsid w:val="0024431F"/>
    <w:rsid w:val="00244566"/>
    <w:rsid w:val="002449B2"/>
    <w:rsid w:val="00244A13"/>
    <w:rsid w:val="002453D9"/>
    <w:rsid w:val="00246D3F"/>
    <w:rsid w:val="00247CAE"/>
    <w:rsid w:val="002505E5"/>
    <w:rsid w:val="00250895"/>
    <w:rsid w:val="002510DE"/>
    <w:rsid w:val="00251681"/>
    <w:rsid w:val="0025179A"/>
    <w:rsid w:val="0025185A"/>
    <w:rsid w:val="00251B24"/>
    <w:rsid w:val="00252CC4"/>
    <w:rsid w:val="00253382"/>
    <w:rsid w:val="00254147"/>
    <w:rsid w:val="00260410"/>
    <w:rsid w:val="00260963"/>
    <w:rsid w:val="00260B99"/>
    <w:rsid w:val="00261545"/>
    <w:rsid w:val="0026220A"/>
    <w:rsid w:val="002624CB"/>
    <w:rsid w:val="002637DA"/>
    <w:rsid w:val="00263F24"/>
    <w:rsid w:val="00264EA1"/>
    <w:rsid w:val="00264EA7"/>
    <w:rsid w:val="00264F49"/>
    <w:rsid w:val="002654E3"/>
    <w:rsid w:val="00265EAF"/>
    <w:rsid w:val="002667CE"/>
    <w:rsid w:val="00266DAA"/>
    <w:rsid w:val="00266F43"/>
    <w:rsid w:val="002672F5"/>
    <w:rsid w:val="0027031F"/>
    <w:rsid w:val="002703DA"/>
    <w:rsid w:val="00270451"/>
    <w:rsid w:val="00270E15"/>
    <w:rsid w:val="00271844"/>
    <w:rsid w:val="00272BCC"/>
    <w:rsid w:val="002733EF"/>
    <w:rsid w:val="0027383F"/>
    <w:rsid w:val="00273CEA"/>
    <w:rsid w:val="00274892"/>
    <w:rsid w:val="00275369"/>
    <w:rsid w:val="00275560"/>
    <w:rsid w:val="00276468"/>
    <w:rsid w:val="00276DB8"/>
    <w:rsid w:val="002772A8"/>
    <w:rsid w:val="00277371"/>
    <w:rsid w:val="002773C6"/>
    <w:rsid w:val="00277A7A"/>
    <w:rsid w:val="00277B82"/>
    <w:rsid w:val="002801CE"/>
    <w:rsid w:val="00282F1A"/>
    <w:rsid w:val="0028312B"/>
    <w:rsid w:val="002831FF"/>
    <w:rsid w:val="002839AD"/>
    <w:rsid w:val="00284D50"/>
    <w:rsid w:val="002857EB"/>
    <w:rsid w:val="00285B49"/>
    <w:rsid w:val="0028650A"/>
    <w:rsid w:val="00286665"/>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8C6"/>
    <w:rsid w:val="002A1FBF"/>
    <w:rsid w:val="002A20A2"/>
    <w:rsid w:val="002A3C85"/>
    <w:rsid w:val="002A4268"/>
    <w:rsid w:val="002A4310"/>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6714"/>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5AD"/>
    <w:rsid w:val="002D2E18"/>
    <w:rsid w:val="002D38BC"/>
    <w:rsid w:val="002D3B1D"/>
    <w:rsid w:val="002D43AC"/>
    <w:rsid w:val="002D4773"/>
    <w:rsid w:val="002D5A98"/>
    <w:rsid w:val="002D5ED9"/>
    <w:rsid w:val="002D66D8"/>
    <w:rsid w:val="002D685E"/>
    <w:rsid w:val="002D6D50"/>
    <w:rsid w:val="002D6E2F"/>
    <w:rsid w:val="002D71AC"/>
    <w:rsid w:val="002D7765"/>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B48"/>
    <w:rsid w:val="002F653F"/>
    <w:rsid w:val="002F73C1"/>
    <w:rsid w:val="002F757F"/>
    <w:rsid w:val="002F7E84"/>
    <w:rsid w:val="003000C0"/>
    <w:rsid w:val="00300254"/>
    <w:rsid w:val="00300891"/>
    <w:rsid w:val="00300CD0"/>
    <w:rsid w:val="0030265A"/>
    <w:rsid w:val="00302CD4"/>
    <w:rsid w:val="00302FEE"/>
    <w:rsid w:val="00303AB6"/>
    <w:rsid w:val="003040E8"/>
    <w:rsid w:val="00304746"/>
    <w:rsid w:val="00304F8A"/>
    <w:rsid w:val="00305365"/>
    <w:rsid w:val="00306844"/>
    <w:rsid w:val="00307188"/>
    <w:rsid w:val="00310420"/>
    <w:rsid w:val="0031087D"/>
    <w:rsid w:val="0031090D"/>
    <w:rsid w:val="00310AB1"/>
    <w:rsid w:val="00310AD3"/>
    <w:rsid w:val="00310F34"/>
    <w:rsid w:val="00311547"/>
    <w:rsid w:val="003117DB"/>
    <w:rsid w:val="0031267B"/>
    <w:rsid w:val="00312908"/>
    <w:rsid w:val="00312BC1"/>
    <w:rsid w:val="00312F51"/>
    <w:rsid w:val="00313DFD"/>
    <w:rsid w:val="003140C6"/>
    <w:rsid w:val="00314DF7"/>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5B1"/>
    <w:rsid w:val="003738D6"/>
    <w:rsid w:val="00374701"/>
    <w:rsid w:val="00375526"/>
    <w:rsid w:val="00375BDC"/>
    <w:rsid w:val="00376398"/>
    <w:rsid w:val="00377CF1"/>
    <w:rsid w:val="00380114"/>
    <w:rsid w:val="00380555"/>
    <w:rsid w:val="00380BBE"/>
    <w:rsid w:val="00380CB0"/>
    <w:rsid w:val="0038338C"/>
    <w:rsid w:val="00383838"/>
    <w:rsid w:val="00383D60"/>
    <w:rsid w:val="00383E1A"/>
    <w:rsid w:val="00384A0F"/>
    <w:rsid w:val="00385BAD"/>
    <w:rsid w:val="0038600B"/>
    <w:rsid w:val="003861BC"/>
    <w:rsid w:val="0038644C"/>
    <w:rsid w:val="00386BD3"/>
    <w:rsid w:val="00387649"/>
    <w:rsid w:val="0038783E"/>
    <w:rsid w:val="00387E17"/>
    <w:rsid w:val="003907FD"/>
    <w:rsid w:val="00390DC0"/>
    <w:rsid w:val="0039110E"/>
    <w:rsid w:val="00391296"/>
    <w:rsid w:val="003922AC"/>
    <w:rsid w:val="00392436"/>
    <w:rsid w:val="003927A4"/>
    <w:rsid w:val="0039287F"/>
    <w:rsid w:val="00392A72"/>
    <w:rsid w:val="00392D84"/>
    <w:rsid w:val="00393420"/>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1DCC"/>
    <w:rsid w:val="003A372E"/>
    <w:rsid w:val="003A39B1"/>
    <w:rsid w:val="003A4B6F"/>
    <w:rsid w:val="003A5076"/>
    <w:rsid w:val="003A5234"/>
    <w:rsid w:val="003A530D"/>
    <w:rsid w:val="003A5DA4"/>
    <w:rsid w:val="003A7CBD"/>
    <w:rsid w:val="003B016E"/>
    <w:rsid w:val="003B10B3"/>
    <w:rsid w:val="003B18EA"/>
    <w:rsid w:val="003B190A"/>
    <w:rsid w:val="003B1BC7"/>
    <w:rsid w:val="003B2363"/>
    <w:rsid w:val="003B287C"/>
    <w:rsid w:val="003B29F0"/>
    <w:rsid w:val="003B2BF1"/>
    <w:rsid w:val="003B3225"/>
    <w:rsid w:val="003B3AD9"/>
    <w:rsid w:val="003B45E4"/>
    <w:rsid w:val="003B45F5"/>
    <w:rsid w:val="003B47E8"/>
    <w:rsid w:val="003B4A57"/>
    <w:rsid w:val="003B4D3E"/>
    <w:rsid w:val="003B54AD"/>
    <w:rsid w:val="003B5654"/>
    <w:rsid w:val="003B686D"/>
    <w:rsid w:val="003B699B"/>
    <w:rsid w:val="003B7121"/>
    <w:rsid w:val="003B712A"/>
    <w:rsid w:val="003B7D79"/>
    <w:rsid w:val="003C01D4"/>
    <w:rsid w:val="003C0386"/>
    <w:rsid w:val="003C0CA1"/>
    <w:rsid w:val="003C1A9C"/>
    <w:rsid w:val="003C22D8"/>
    <w:rsid w:val="003C2541"/>
    <w:rsid w:val="003C2EFD"/>
    <w:rsid w:val="003C31B8"/>
    <w:rsid w:val="003C37DE"/>
    <w:rsid w:val="003C3A1E"/>
    <w:rsid w:val="003C40EE"/>
    <w:rsid w:val="003C4F5D"/>
    <w:rsid w:val="003C5D5A"/>
    <w:rsid w:val="003C5F99"/>
    <w:rsid w:val="003C6A3C"/>
    <w:rsid w:val="003C73A9"/>
    <w:rsid w:val="003C7AC8"/>
    <w:rsid w:val="003D04BD"/>
    <w:rsid w:val="003D0551"/>
    <w:rsid w:val="003D1188"/>
    <w:rsid w:val="003D1C42"/>
    <w:rsid w:val="003D1D94"/>
    <w:rsid w:val="003D1E94"/>
    <w:rsid w:val="003D3EC7"/>
    <w:rsid w:val="003D3F0E"/>
    <w:rsid w:val="003D622D"/>
    <w:rsid w:val="003D7043"/>
    <w:rsid w:val="003D736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384"/>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17E46"/>
    <w:rsid w:val="00420406"/>
    <w:rsid w:val="004219F8"/>
    <w:rsid w:val="00422E23"/>
    <w:rsid w:val="0042324D"/>
    <w:rsid w:val="004245B7"/>
    <w:rsid w:val="00425499"/>
    <w:rsid w:val="004257DA"/>
    <w:rsid w:val="00425A95"/>
    <w:rsid w:val="00425E55"/>
    <w:rsid w:val="004278C2"/>
    <w:rsid w:val="004300E5"/>
    <w:rsid w:val="00430C09"/>
    <w:rsid w:val="00430CD2"/>
    <w:rsid w:val="00431042"/>
    <w:rsid w:val="004310A3"/>
    <w:rsid w:val="00431706"/>
    <w:rsid w:val="00431AC9"/>
    <w:rsid w:val="00432EBF"/>
    <w:rsid w:val="00432EF9"/>
    <w:rsid w:val="0043352A"/>
    <w:rsid w:val="00433E49"/>
    <w:rsid w:val="0043424B"/>
    <w:rsid w:val="004345A1"/>
    <w:rsid w:val="00434621"/>
    <w:rsid w:val="00434E00"/>
    <w:rsid w:val="00435018"/>
    <w:rsid w:val="004358B5"/>
    <w:rsid w:val="00435A46"/>
    <w:rsid w:val="00436633"/>
    <w:rsid w:val="00437A1D"/>
    <w:rsid w:val="00437E0D"/>
    <w:rsid w:val="00440CF3"/>
    <w:rsid w:val="00440E29"/>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9F"/>
    <w:rsid w:val="004565D7"/>
    <w:rsid w:val="00456714"/>
    <w:rsid w:val="00456E84"/>
    <w:rsid w:val="004602D7"/>
    <w:rsid w:val="004603C5"/>
    <w:rsid w:val="00460839"/>
    <w:rsid w:val="00460AE5"/>
    <w:rsid w:val="00461891"/>
    <w:rsid w:val="004629B8"/>
    <w:rsid w:val="00462EB2"/>
    <w:rsid w:val="004639A8"/>
    <w:rsid w:val="004652AA"/>
    <w:rsid w:val="00465ED0"/>
    <w:rsid w:val="00465FCF"/>
    <w:rsid w:val="00467258"/>
    <w:rsid w:val="00467EC2"/>
    <w:rsid w:val="004701EC"/>
    <w:rsid w:val="004708E8"/>
    <w:rsid w:val="00471890"/>
    <w:rsid w:val="00471DD1"/>
    <w:rsid w:val="00471F1F"/>
    <w:rsid w:val="00472DD5"/>
    <w:rsid w:val="00473719"/>
    <w:rsid w:val="00473B2C"/>
    <w:rsid w:val="004748C4"/>
    <w:rsid w:val="00474D1B"/>
    <w:rsid w:val="004750FA"/>
    <w:rsid w:val="004753C9"/>
    <w:rsid w:val="00475452"/>
    <w:rsid w:val="00475623"/>
    <w:rsid w:val="00475FF6"/>
    <w:rsid w:val="004761B7"/>
    <w:rsid w:val="004762EE"/>
    <w:rsid w:val="004765ED"/>
    <w:rsid w:val="0047690C"/>
    <w:rsid w:val="00477AB8"/>
    <w:rsid w:val="00480170"/>
    <w:rsid w:val="0048085A"/>
    <w:rsid w:val="00481515"/>
    <w:rsid w:val="00481715"/>
    <w:rsid w:val="004832D1"/>
    <w:rsid w:val="00485A1A"/>
    <w:rsid w:val="00485A7A"/>
    <w:rsid w:val="0048659D"/>
    <w:rsid w:val="00486786"/>
    <w:rsid w:val="0048738F"/>
    <w:rsid w:val="004901C6"/>
    <w:rsid w:val="00490634"/>
    <w:rsid w:val="004916F9"/>
    <w:rsid w:val="0049229A"/>
    <w:rsid w:val="0049345E"/>
    <w:rsid w:val="00494E5C"/>
    <w:rsid w:val="00494E9F"/>
    <w:rsid w:val="0049537C"/>
    <w:rsid w:val="004954CB"/>
    <w:rsid w:val="00495804"/>
    <w:rsid w:val="00495E4D"/>
    <w:rsid w:val="00496270"/>
    <w:rsid w:val="0049678C"/>
    <w:rsid w:val="00496A08"/>
    <w:rsid w:val="004975B2"/>
    <w:rsid w:val="00497727"/>
    <w:rsid w:val="004A04B1"/>
    <w:rsid w:val="004A12FC"/>
    <w:rsid w:val="004A21EA"/>
    <w:rsid w:val="004A2358"/>
    <w:rsid w:val="004A36C9"/>
    <w:rsid w:val="004A3FEC"/>
    <w:rsid w:val="004A4095"/>
    <w:rsid w:val="004A4522"/>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3C0B"/>
    <w:rsid w:val="004D405F"/>
    <w:rsid w:val="004D4557"/>
    <w:rsid w:val="004D4931"/>
    <w:rsid w:val="004D4B57"/>
    <w:rsid w:val="004D5EF2"/>
    <w:rsid w:val="004D672B"/>
    <w:rsid w:val="004D7AA7"/>
    <w:rsid w:val="004D7D1A"/>
    <w:rsid w:val="004E0336"/>
    <w:rsid w:val="004E07E9"/>
    <w:rsid w:val="004E0EA4"/>
    <w:rsid w:val="004E105E"/>
    <w:rsid w:val="004E1D71"/>
    <w:rsid w:val="004E235D"/>
    <w:rsid w:val="004E258F"/>
    <w:rsid w:val="004E2CE1"/>
    <w:rsid w:val="004E2F6C"/>
    <w:rsid w:val="004E3817"/>
    <w:rsid w:val="004E4065"/>
    <w:rsid w:val="004E4435"/>
    <w:rsid w:val="004E4F9E"/>
    <w:rsid w:val="004E595F"/>
    <w:rsid w:val="004E61F5"/>
    <w:rsid w:val="004E6978"/>
    <w:rsid w:val="004E74C6"/>
    <w:rsid w:val="004E7CDD"/>
    <w:rsid w:val="004E7D22"/>
    <w:rsid w:val="004F009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0B87"/>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6FDA"/>
    <w:rsid w:val="0052767E"/>
    <w:rsid w:val="00530066"/>
    <w:rsid w:val="005302C7"/>
    <w:rsid w:val="00530929"/>
    <w:rsid w:val="0053147C"/>
    <w:rsid w:val="00534281"/>
    <w:rsid w:val="00535005"/>
    <w:rsid w:val="0053506F"/>
    <w:rsid w:val="00535A42"/>
    <w:rsid w:val="005362A6"/>
    <w:rsid w:val="0053658B"/>
    <w:rsid w:val="00536595"/>
    <w:rsid w:val="00537887"/>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338B"/>
    <w:rsid w:val="00566658"/>
    <w:rsid w:val="00567784"/>
    <w:rsid w:val="00570402"/>
    <w:rsid w:val="005710B8"/>
    <w:rsid w:val="00571D7C"/>
    <w:rsid w:val="005728B1"/>
    <w:rsid w:val="00572D57"/>
    <w:rsid w:val="00573042"/>
    <w:rsid w:val="0057483F"/>
    <w:rsid w:val="005751CB"/>
    <w:rsid w:val="0057557B"/>
    <w:rsid w:val="00575AE2"/>
    <w:rsid w:val="00575FC7"/>
    <w:rsid w:val="00576E76"/>
    <w:rsid w:val="00577A74"/>
    <w:rsid w:val="00577DAA"/>
    <w:rsid w:val="00577E15"/>
    <w:rsid w:val="00581BF0"/>
    <w:rsid w:val="00582E84"/>
    <w:rsid w:val="00583102"/>
    <w:rsid w:val="00583174"/>
    <w:rsid w:val="00583BFD"/>
    <w:rsid w:val="00584078"/>
    <w:rsid w:val="0058415D"/>
    <w:rsid w:val="005846A0"/>
    <w:rsid w:val="00584CED"/>
    <w:rsid w:val="00584D31"/>
    <w:rsid w:val="00584EBD"/>
    <w:rsid w:val="00584F20"/>
    <w:rsid w:val="00586153"/>
    <w:rsid w:val="005908BB"/>
    <w:rsid w:val="00590970"/>
    <w:rsid w:val="00591B5A"/>
    <w:rsid w:val="00591DB3"/>
    <w:rsid w:val="005922A9"/>
    <w:rsid w:val="00592E0A"/>
    <w:rsid w:val="00593149"/>
    <w:rsid w:val="005937BF"/>
    <w:rsid w:val="00595286"/>
    <w:rsid w:val="00595287"/>
    <w:rsid w:val="00595E1D"/>
    <w:rsid w:val="005A0309"/>
    <w:rsid w:val="005A05FA"/>
    <w:rsid w:val="005A0D27"/>
    <w:rsid w:val="005A0E8D"/>
    <w:rsid w:val="005A15C6"/>
    <w:rsid w:val="005A1F8F"/>
    <w:rsid w:val="005A3ED3"/>
    <w:rsid w:val="005A47D4"/>
    <w:rsid w:val="005A48C1"/>
    <w:rsid w:val="005A4D57"/>
    <w:rsid w:val="005A53DC"/>
    <w:rsid w:val="005A5C74"/>
    <w:rsid w:val="005A5CDD"/>
    <w:rsid w:val="005A5D2E"/>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48C"/>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AC4"/>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9D9"/>
    <w:rsid w:val="005E35DD"/>
    <w:rsid w:val="005E4078"/>
    <w:rsid w:val="005E41E6"/>
    <w:rsid w:val="005E45E9"/>
    <w:rsid w:val="005E5061"/>
    <w:rsid w:val="005E5242"/>
    <w:rsid w:val="005E5859"/>
    <w:rsid w:val="005E5FA5"/>
    <w:rsid w:val="005E6F3C"/>
    <w:rsid w:val="005E7627"/>
    <w:rsid w:val="005E7D02"/>
    <w:rsid w:val="005F0604"/>
    <w:rsid w:val="005F0BD8"/>
    <w:rsid w:val="005F0E47"/>
    <w:rsid w:val="005F1312"/>
    <w:rsid w:val="005F1DEF"/>
    <w:rsid w:val="005F207D"/>
    <w:rsid w:val="005F29FE"/>
    <w:rsid w:val="005F2B17"/>
    <w:rsid w:val="005F344B"/>
    <w:rsid w:val="005F3FA4"/>
    <w:rsid w:val="005F5593"/>
    <w:rsid w:val="005F5F6F"/>
    <w:rsid w:val="005F61DC"/>
    <w:rsid w:val="005F65D2"/>
    <w:rsid w:val="005F6918"/>
    <w:rsid w:val="005F6C4F"/>
    <w:rsid w:val="005F6D93"/>
    <w:rsid w:val="005F7FE9"/>
    <w:rsid w:val="0060138E"/>
    <w:rsid w:val="006037A1"/>
    <w:rsid w:val="00603836"/>
    <w:rsid w:val="00603F74"/>
    <w:rsid w:val="006042DA"/>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10B"/>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79D"/>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376"/>
    <w:rsid w:val="00667656"/>
    <w:rsid w:val="00670C87"/>
    <w:rsid w:val="006711D0"/>
    <w:rsid w:val="00672AC2"/>
    <w:rsid w:val="00672E0E"/>
    <w:rsid w:val="00672FFD"/>
    <w:rsid w:val="0067398C"/>
    <w:rsid w:val="00673C84"/>
    <w:rsid w:val="00674372"/>
    <w:rsid w:val="00675D14"/>
    <w:rsid w:val="00677004"/>
    <w:rsid w:val="00677C86"/>
    <w:rsid w:val="00680BB4"/>
    <w:rsid w:val="00682CCD"/>
    <w:rsid w:val="00683738"/>
    <w:rsid w:val="00684312"/>
    <w:rsid w:val="006846EA"/>
    <w:rsid w:val="006853DB"/>
    <w:rsid w:val="00685527"/>
    <w:rsid w:val="006864DF"/>
    <w:rsid w:val="006868B4"/>
    <w:rsid w:val="00686C46"/>
    <w:rsid w:val="00687056"/>
    <w:rsid w:val="0068755E"/>
    <w:rsid w:val="006877A4"/>
    <w:rsid w:val="0069108B"/>
    <w:rsid w:val="00692451"/>
    <w:rsid w:val="006928F2"/>
    <w:rsid w:val="00693151"/>
    <w:rsid w:val="006933F6"/>
    <w:rsid w:val="00693667"/>
    <w:rsid w:val="00693A25"/>
    <w:rsid w:val="00693E48"/>
    <w:rsid w:val="006947D5"/>
    <w:rsid w:val="00694865"/>
    <w:rsid w:val="00695A38"/>
    <w:rsid w:val="0069609F"/>
    <w:rsid w:val="00697165"/>
    <w:rsid w:val="006978B2"/>
    <w:rsid w:val="006A0A28"/>
    <w:rsid w:val="006A117C"/>
    <w:rsid w:val="006A1549"/>
    <w:rsid w:val="006A1B7D"/>
    <w:rsid w:val="006A236F"/>
    <w:rsid w:val="006A2A94"/>
    <w:rsid w:val="006A2E48"/>
    <w:rsid w:val="006A3184"/>
    <w:rsid w:val="006A35E2"/>
    <w:rsid w:val="006A37BB"/>
    <w:rsid w:val="006A38F7"/>
    <w:rsid w:val="006A4FFE"/>
    <w:rsid w:val="006A58E9"/>
    <w:rsid w:val="006A694A"/>
    <w:rsid w:val="006A6FC7"/>
    <w:rsid w:val="006A7300"/>
    <w:rsid w:val="006A7917"/>
    <w:rsid w:val="006A7BD3"/>
    <w:rsid w:val="006A7EA4"/>
    <w:rsid w:val="006A7EAF"/>
    <w:rsid w:val="006B05FB"/>
    <w:rsid w:val="006B0A5E"/>
    <w:rsid w:val="006B2262"/>
    <w:rsid w:val="006B2CDC"/>
    <w:rsid w:val="006B2E5B"/>
    <w:rsid w:val="006B3137"/>
    <w:rsid w:val="006B47B3"/>
    <w:rsid w:val="006B51FA"/>
    <w:rsid w:val="006B58BA"/>
    <w:rsid w:val="006B76F0"/>
    <w:rsid w:val="006C0C71"/>
    <w:rsid w:val="006C2AB5"/>
    <w:rsid w:val="006C2E8E"/>
    <w:rsid w:val="006C41B0"/>
    <w:rsid w:val="006C440F"/>
    <w:rsid w:val="006C5DAC"/>
    <w:rsid w:val="006C6539"/>
    <w:rsid w:val="006C67DF"/>
    <w:rsid w:val="006C6C5C"/>
    <w:rsid w:val="006C7F0D"/>
    <w:rsid w:val="006D002C"/>
    <w:rsid w:val="006D05B4"/>
    <w:rsid w:val="006D05D7"/>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3539"/>
    <w:rsid w:val="006E48DA"/>
    <w:rsid w:val="006E4CC9"/>
    <w:rsid w:val="006E5132"/>
    <w:rsid w:val="006E5D69"/>
    <w:rsid w:val="006E657A"/>
    <w:rsid w:val="006E6699"/>
    <w:rsid w:val="006E6766"/>
    <w:rsid w:val="006E67E1"/>
    <w:rsid w:val="006E6E27"/>
    <w:rsid w:val="006E7435"/>
    <w:rsid w:val="006E765B"/>
    <w:rsid w:val="006E7C2E"/>
    <w:rsid w:val="006F10EC"/>
    <w:rsid w:val="006F1749"/>
    <w:rsid w:val="006F21D3"/>
    <w:rsid w:val="006F2307"/>
    <w:rsid w:val="006F2BED"/>
    <w:rsid w:val="006F3E3F"/>
    <w:rsid w:val="006F44DE"/>
    <w:rsid w:val="006F4CE1"/>
    <w:rsid w:val="006F57F6"/>
    <w:rsid w:val="006F5D98"/>
    <w:rsid w:val="006F6578"/>
    <w:rsid w:val="006F6AD2"/>
    <w:rsid w:val="006F726A"/>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0A68"/>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CC"/>
    <w:rsid w:val="007425DA"/>
    <w:rsid w:val="00742C7A"/>
    <w:rsid w:val="00742C7C"/>
    <w:rsid w:val="00743451"/>
    <w:rsid w:val="00743739"/>
    <w:rsid w:val="007448B4"/>
    <w:rsid w:val="00744EB8"/>
    <w:rsid w:val="007453E8"/>
    <w:rsid w:val="00747D2E"/>
    <w:rsid w:val="00750310"/>
    <w:rsid w:val="00750338"/>
    <w:rsid w:val="007506F0"/>
    <w:rsid w:val="00751050"/>
    <w:rsid w:val="00751414"/>
    <w:rsid w:val="007516C8"/>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3B8"/>
    <w:rsid w:val="00767DC6"/>
    <w:rsid w:val="00767DEB"/>
    <w:rsid w:val="00767E23"/>
    <w:rsid w:val="00770AB9"/>
    <w:rsid w:val="0077127B"/>
    <w:rsid w:val="0077133C"/>
    <w:rsid w:val="00771A24"/>
    <w:rsid w:val="007721F2"/>
    <w:rsid w:val="00772229"/>
    <w:rsid w:val="0077269A"/>
    <w:rsid w:val="00772825"/>
    <w:rsid w:val="00772859"/>
    <w:rsid w:val="00772D80"/>
    <w:rsid w:val="00772FD8"/>
    <w:rsid w:val="00775389"/>
    <w:rsid w:val="00776B47"/>
    <w:rsid w:val="007814C5"/>
    <w:rsid w:val="007819BE"/>
    <w:rsid w:val="00781AF8"/>
    <w:rsid w:val="007823AB"/>
    <w:rsid w:val="00782BD4"/>
    <w:rsid w:val="00782C77"/>
    <w:rsid w:val="007832F7"/>
    <w:rsid w:val="00783A40"/>
    <w:rsid w:val="007846F0"/>
    <w:rsid w:val="007848B9"/>
    <w:rsid w:val="00785CFD"/>
    <w:rsid w:val="00785E9C"/>
    <w:rsid w:val="00786DA2"/>
    <w:rsid w:val="007874CF"/>
    <w:rsid w:val="00787C00"/>
    <w:rsid w:val="00791310"/>
    <w:rsid w:val="00792B54"/>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626"/>
    <w:rsid w:val="007A7732"/>
    <w:rsid w:val="007B010A"/>
    <w:rsid w:val="007B0282"/>
    <w:rsid w:val="007B0691"/>
    <w:rsid w:val="007B0C5D"/>
    <w:rsid w:val="007B1803"/>
    <w:rsid w:val="007B2528"/>
    <w:rsid w:val="007B331A"/>
    <w:rsid w:val="007B33E7"/>
    <w:rsid w:val="007B3F83"/>
    <w:rsid w:val="007B3F9A"/>
    <w:rsid w:val="007B522B"/>
    <w:rsid w:val="007B599D"/>
    <w:rsid w:val="007B5D76"/>
    <w:rsid w:val="007B6722"/>
    <w:rsid w:val="007B680F"/>
    <w:rsid w:val="007B6C87"/>
    <w:rsid w:val="007B6E67"/>
    <w:rsid w:val="007B71D5"/>
    <w:rsid w:val="007C0484"/>
    <w:rsid w:val="007C0C51"/>
    <w:rsid w:val="007C12E6"/>
    <w:rsid w:val="007C1A1C"/>
    <w:rsid w:val="007C2475"/>
    <w:rsid w:val="007C24AA"/>
    <w:rsid w:val="007C2690"/>
    <w:rsid w:val="007C2FFB"/>
    <w:rsid w:val="007C3605"/>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0A"/>
    <w:rsid w:val="007E0B10"/>
    <w:rsid w:val="007E154F"/>
    <w:rsid w:val="007E1708"/>
    <w:rsid w:val="007E407D"/>
    <w:rsid w:val="007E4FF5"/>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E7"/>
    <w:rsid w:val="00802B6E"/>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3B7"/>
    <w:rsid w:val="008276D6"/>
    <w:rsid w:val="00827F99"/>
    <w:rsid w:val="00832230"/>
    <w:rsid w:val="00833010"/>
    <w:rsid w:val="00833F96"/>
    <w:rsid w:val="00834B8A"/>
    <w:rsid w:val="00836601"/>
    <w:rsid w:val="008376C0"/>
    <w:rsid w:val="008377A9"/>
    <w:rsid w:val="00837844"/>
    <w:rsid w:val="008378F3"/>
    <w:rsid w:val="00837C2C"/>
    <w:rsid w:val="00840653"/>
    <w:rsid w:val="00842EAC"/>
    <w:rsid w:val="008437F0"/>
    <w:rsid w:val="00844FDA"/>
    <w:rsid w:val="0084514B"/>
    <w:rsid w:val="00846125"/>
    <w:rsid w:val="0084653C"/>
    <w:rsid w:val="0084663C"/>
    <w:rsid w:val="00846A71"/>
    <w:rsid w:val="00846D42"/>
    <w:rsid w:val="0085115C"/>
    <w:rsid w:val="00851CC6"/>
    <w:rsid w:val="00851FF5"/>
    <w:rsid w:val="00853245"/>
    <w:rsid w:val="0085387C"/>
    <w:rsid w:val="00855E1D"/>
    <w:rsid w:val="0086034A"/>
    <w:rsid w:val="00862C5C"/>
    <w:rsid w:val="0086319F"/>
    <w:rsid w:val="008631E1"/>
    <w:rsid w:val="0086388F"/>
    <w:rsid w:val="0086611C"/>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447"/>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133"/>
    <w:rsid w:val="008B46FF"/>
    <w:rsid w:val="008B4CFE"/>
    <w:rsid w:val="008B5ED8"/>
    <w:rsid w:val="008B6FCC"/>
    <w:rsid w:val="008B75CD"/>
    <w:rsid w:val="008B78DD"/>
    <w:rsid w:val="008C05EA"/>
    <w:rsid w:val="008C0761"/>
    <w:rsid w:val="008C0762"/>
    <w:rsid w:val="008C1D73"/>
    <w:rsid w:val="008C25E9"/>
    <w:rsid w:val="008C2B29"/>
    <w:rsid w:val="008C3617"/>
    <w:rsid w:val="008C45FF"/>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A06"/>
    <w:rsid w:val="008D7BC9"/>
    <w:rsid w:val="008E09A8"/>
    <w:rsid w:val="008E2567"/>
    <w:rsid w:val="008E269B"/>
    <w:rsid w:val="008E2F6E"/>
    <w:rsid w:val="008E2FBB"/>
    <w:rsid w:val="008E30ED"/>
    <w:rsid w:val="008E345F"/>
    <w:rsid w:val="008E3486"/>
    <w:rsid w:val="008E376E"/>
    <w:rsid w:val="008E389E"/>
    <w:rsid w:val="008E3E54"/>
    <w:rsid w:val="008E4DD7"/>
    <w:rsid w:val="008E5114"/>
    <w:rsid w:val="008E5979"/>
    <w:rsid w:val="008E7435"/>
    <w:rsid w:val="008E7869"/>
    <w:rsid w:val="008F0058"/>
    <w:rsid w:val="008F0761"/>
    <w:rsid w:val="008F07AF"/>
    <w:rsid w:val="008F07D7"/>
    <w:rsid w:val="008F1257"/>
    <w:rsid w:val="008F17AD"/>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1A16"/>
    <w:rsid w:val="009030EF"/>
    <w:rsid w:val="00903764"/>
    <w:rsid w:val="00903B76"/>
    <w:rsid w:val="00903FA6"/>
    <w:rsid w:val="009047E0"/>
    <w:rsid w:val="009048D1"/>
    <w:rsid w:val="00905169"/>
    <w:rsid w:val="00906F16"/>
    <w:rsid w:val="00907932"/>
    <w:rsid w:val="009107B2"/>
    <w:rsid w:val="009116D3"/>
    <w:rsid w:val="00911782"/>
    <w:rsid w:val="0091189F"/>
    <w:rsid w:val="00911E60"/>
    <w:rsid w:val="00912608"/>
    <w:rsid w:val="0091269D"/>
    <w:rsid w:val="00912781"/>
    <w:rsid w:val="00912C77"/>
    <w:rsid w:val="009137A3"/>
    <w:rsid w:val="009139D9"/>
    <w:rsid w:val="009146DB"/>
    <w:rsid w:val="00914C5B"/>
    <w:rsid w:val="0091536D"/>
    <w:rsid w:val="00915866"/>
    <w:rsid w:val="00916091"/>
    <w:rsid w:val="0091654F"/>
    <w:rsid w:val="00916A04"/>
    <w:rsid w:val="009178B7"/>
    <w:rsid w:val="00917E7A"/>
    <w:rsid w:val="00920CE5"/>
    <w:rsid w:val="00921455"/>
    <w:rsid w:val="0092223C"/>
    <w:rsid w:val="009225A5"/>
    <w:rsid w:val="0092331A"/>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5EEC"/>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097D"/>
    <w:rsid w:val="00952C0D"/>
    <w:rsid w:val="00952E73"/>
    <w:rsid w:val="00952F5B"/>
    <w:rsid w:val="00953054"/>
    <w:rsid w:val="00953C38"/>
    <w:rsid w:val="00953C90"/>
    <w:rsid w:val="00954B95"/>
    <w:rsid w:val="0095506B"/>
    <w:rsid w:val="009569D8"/>
    <w:rsid w:val="00956C01"/>
    <w:rsid w:val="00956FF4"/>
    <w:rsid w:val="00957218"/>
    <w:rsid w:val="009600AF"/>
    <w:rsid w:val="0096047E"/>
    <w:rsid w:val="00960BE4"/>
    <w:rsid w:val="00961D18"/>
    <w:rsid w:val="00961DDC"/>
    <w:rsid w:val="009624DA"/>
    <w:rsid w:val="00962535"/>
    <w:rsid w:val="009634D8"/>
    <w:rsid w:val="00963D13"/>
    <w:rsid w:val="00964361"/>
    <w:rsid w:val="009646E8"/>
    <w:rsid w:val="00964FCB"/>
    <w:rsid w:val="009660BC"/>
    <w:rsid w:val="00966E1A"/>
    <w:rsid w:val="00967550"/>
    <w:rsid w:val="009701E0"/>
    <w:rsid w:val="00971428"/>
    <w:rsid w:val="0097158A"/>
    <w:rsid w:val="009716FA"/>
    <w:rsid w:val="00971A1F"/>
    <w:rsid w:val="00971B5E"/>
    <w:rsid w:val="00973464"/>
    <w:rsid w:val="00973AF5"/>
    <w:rsid w:val="00974058"/>
    <w:rsid w:val="0097466B"/>
    <w:rsid w:val="009752A8"/>
    <w:rsid w:val="0097573A"/>
    <w:rsid w:val="00975F87"/>
    <w:rsid w:val="00976231"/>
    <w:rsid w:val="009800DB"/>
    <w:rsid w:val="00981498"/>
    <w:rsid w:val="00981528"/>
    <w:rsid w:val="00982045"/>
    <w:rsid w:val="009828ED"/>
    <w:rsid w:val="0098466A"/>
    <w:rsid w:val="009857B5"/>
    <w:rsid w:val="00985B83"/>
    <w:rsid w:val="00985E6B"/>
    <w:rsid w:val="00986B97"/>
    <w:rsid w:val="00987513"/>
    <w:rsid w:val="00990372"/>
    <w:rsid w:val="009912BD"/>
    <w:rsid w:val="00992BF9"/>
    <w:rsid w:val="00992CEF"/>
    <w:rsid w:val="00993823"/>
    <w:rsid w:val="00993B16"/>
    <w:rsid w:val="00994118"/>
    <w:rsid w:val="00994AF2"/>
    <w:rsid w:val="00995F22"/>
    <w:rsid w:val="0099666B"/>
    <w:rsid w:val="00996C3C"/>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2FDC"/>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3BC0"/>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5184"/>
    <w:rsid w:val="009E7446"/>
    <w:rsid w:val="009E760A"/>
    <w:rsid w:val="009E7EBA"/>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101E"/>
    <w:rsid w:val="00A01C32"/>
    <w:rsid w:val="00A023D1"/>
    <w:rsid w:val="00A03174"/>
    <w:rsid w:val="00A03858"/>
    <w:rsid w:val="00A0429C"/>
    <w:rsid w:val="00A0488C"/>
    <w:rsid w:val="00A055CA"/>
    <w:rsid w:val="00A06517"/>
    <w:rsid w:val="00A06D4D"/>
    <w:rsid w:val="00A0757E"/>
    <w:rsid w:val="00A079D3"/>
    <w:rsid w:val="00A10268"/>
    <w:rsid w:val="00A10362"/>
    <w:rsid w:val="00A104F4"/>
    <w:rsid w:val="00A10F60"/>
    <w:rsid w:val="00A11FD0"/>
    <w:rsid w:val="00A120AD"/>
    <w:rsid w:val="00A12683"/>
    <w:rsid w:val="00A12BEC"/>
    <w:rsid w:val="00A12EFF"/>
    <w:rsid w:val="00A13080"/>
    <w:rsid w:val="00A134DE"/>
    <w:rsid w:val="00A13D6B"/>
    <w:rsid w:val="00A159B6"/>
    <w:rsid w:val="00A15D64"/>
    <w:rsid w:val="00A16287"/>
    <w:rsid w:val="00A20DB2"/>
    <w:rsid w:val="00A21FB3"/>
    <w:rsid w:val="00A22500"/>
    <w:rsid w:val="00A23653"/>
    <w:rsid w:val="00A23A07"/>
    <w:rsid w:val="00A2420D"/>
    <w:rsid w:val="00A24956"/>
    <w:rsid w:val="00A25084"/>
    <w:rsid w:val="00A2654C"/>
    <w:rsid w:val="00A26817"/>
    <w:rsid w:val="00A26864"/>
    <w:rsid w:val="00A30121"/>
    <w:rsid w:val="00A30AB2"/>
    <w:rsid w:val="00A30CEF"/>
    <w:rsid w:val="00A31090"/>
    <w:rsid w:val="00A311C0"/>
    <w:rsid w:val="00A31492"/>
    <w:rsid w:val="00A31F09"/>
    <w:rsid w:val="00A3224A"/>
    <w:rsid w:val="00A3238B"/>
    <w:rsid w:val="00A33799"/>
    <w:rsid w:val="00A33EAA"/>
    <w:rsid w:val="00A33EE7"/>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3E3"/>
    <w:rsid w:val="00A47411"/>
    <w:rsid w:val="00A4745F"/>
    <w:rsid w:val="00A47477"/>
    <w:rsid w:val="00A47560"/>
    <w:rsid w:val="00A5009A"/>
    <w:rsid w:val="00A50104"/>
    <w:rsid w:val="00A5163E"/>
    <w:rsid w:val="00A5188F"/>
    <w:rsid w:val="00A51A45"/>
    <w:rsid w:val="00A52CB7"/>
    <w:rsid w:val="00A55B7E"/>
    <w:rsid w:val="00A55DAD"/>
    <w:rsid w:val="00A56624"/>
    <w:rsid w:val="00A56BC1"/>
    <w:rsid w:val="00A5720F"/>
    <w:rsid w:val="00A5777E"/>
    <w:rsid w:val="00A57C55"/>
    <w:rsid w:val="00A60C2F"/>
    <w:rsid w:val="00A60D5F"/>
    <w:rsid w:val="00A621D0"/>
    <w:rsid w:val="00A63FB8"/>
    <w:rsid w:val="00A641EA"/>
    <w:rsid w:val="00A64B36"/>
    <w:rsid w:val="00A64C4C"/>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B1D"/>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6D60"/>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48E"/>
    <w:rsid w:val="00AB451C"/>
    <w:rsid w:val="00AB4A7C"/>
    <w:rsid w:val="00AB58F3"/>
    <w:rsid w:val="00AB5E52"/>
    <w:rsid w:val="00AB6260"/>
    <w:rsid w:val="00AB7B1A"/>
    <w:rsid w:val="00AC0AF4"/>
    <w:rsid w:val="00AC0FAB"/>
    <w:rsid w:val="00AC1FBE"/>
    <w:rsid w:val="00AC200C"/>
    <w:rsid w:val="00AC2833"/>
    <w:rsid w:val="00AC2E9D"/>
    <w:rsid w:val="00AC3BDA"/>
    <w:rsid w:val="00AC4E0D"/>
    <w:rsid w:val="00AC56E0"/>
    <w:rsid w:val="00AC7F6D"/>
    <w:rsid w:val="00AD02DA"/>
    <w:rsid w:val="00AD0793"/>
    <w:rsid w:val="00AD0D51"/>
    <w:rsid w:val="00AD0FB6"/>
    <w:rsid w:val="00AD20C7"/>
    <w:rsid w:val="00AD2285"/>
    <w:rsid w:val="00AD2821"/>
    <w:rsid w:val="00AD3A04"/>
    <w:rsid w:val="00AD404B"/>
    <w:rsid w:val="00AD42AF"/>
    <w:rsid w:val="00AD530A"/>
    <w:rsid w:val="00AD6604"/>
    <w:rsid w:val="00AD6C29"/>
    <w:rsid w:val="00AD6F57"/>
    <w:rsid w:val="00AD7A50"/>
    <w:rsid w:val="00AE0F17"/>
    <w:rsid w:val="00AE1219"/>
    <w:rsid w:val="00AE2C46"/>
    <w:rsid w:val="00AE3F13"/>
    <w:rsid w:val="00AE3F62"/>
    <w:rsid w:val="00AE4F7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8CA"/>
    <w:rsid w:val="00AF69E1"/>
    <w:rsid w:val="00AF74F0"/>
    <w:rsid w:val="00B000CD"/>
    <w:rsid w:val="00B00850"/>
    <w:rsid w:val="00B00FFB"/>
    <w:rsid w:val="00B01A58"/>
    <w:rsid w:val="00B0284F"/>
    <w:rsid w:val="00B02EF2"/>
    <w:rsid w:val="00B0440A"/>
    <w:rsid w:val="00B04E47"/>
    <w:rsid w:val="00B072A6"/>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7D8"/>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45B"/>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34CC"/>
    <w:rsid w:val="00B540C7"/>
    <w:rsid w:val="00B546ED"/>
    <w:rsid w:val="00B54BD5"/>
    <w:rsid w:val="00B565AE"/>
    <w:rsid w:val="00B57504"/>
    <w:rsid w:val="00B57B25"/>
    <w:rsid w:val="00B57FCD"/>
    <w:rsid w:val="00B60618"/>
    <w:rsid w:val="00B60BD7"/>
    <w:rsid w:val="00B60D9E"/>
    <w:rsid w:val="00B61447"/>
    <w:rsid w:val="00B614AD"/>
    <w:rsid w:val="00B615F0"/>
    <w:rsid w:val="00B61928"/>
    <w:rsid w:val="00B6243A"/>
    <w:rsid w:val="00B63793"/>
    <w:rsid w:val="00B647FB"/>
    <w:rsid w:val="00B64C8E"/>
    <w:rsid w:val="00B650AD"/>
    <w:rsid w:val="00B658C6"/>
    <w:rsid w:val="00B65C28"/>
    <w:rsid w:val="00B6752D"/>
    <w:rsid w:val="00B70E9E"/>
    <w:rsid w:val="00B717CA"/>
    <w:rsid w:val="00B72354"/>
    <w:rsid w:val="00B731EA"/>
    <w:rsid w:val="00B732E8"/>
    <w:rsid w:val="00B7380B"/>
    <w:rsid w:val="00B73947"/>
    <w:rsid w:val="00B745E7"/>
    <w:rsid w:val="00B749FA"/>
    <w:rsid w:val="00B74A10"/>
    <w:rsid w:val="00B75632"/>
    <w:rsid w:val="00B75F7D"/>
    <w:rsid w:val="00B7689A"/>
    <w:rsid w:val="00B773F7"/>
    <w:rsid w:val="00B77A36"/>
    <w:rsid w:val="00B77D92"/>
    <w:rsid w:val="00B77F94"/>
    <w:rsid w:val="00B807B3"/>
    <w:rsid w:val="00B813A5"/>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60F"/>
    <w:rsid w:val="00B92B2E"/>
    <w:rsid w:val="00B93DC9"/>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0844"/>
    <w:rsid w:val="00BB2564"/>
    <w:rsid w:val="00BB269C"/>
    <w:rsid w:val="00BB4542"/>
    <w:rsid w:val="00BB4BC4"/>
    <w:rsid w:val="00BB4BEF"/>
    <w:rsid w:val="00BB4EDF"/>
    <w:rsid w:val="00BB62E9"/>
    <w:rsid w:val="00BC1663"/>
    <w:rsid w:val="00BC1ADE"/>
    <w:rsid w:val="00BC2BBC"/>
    <w:rsid w:val="00BC3CF0"/>
    <w:rsid w:val="00BC43DE"/>
    <w:rsid w:val="00BC45FB"/>
    <w:rsid w:val="00BC5140"/>
    <w:rsid w:val="00BC51DC"/>
    <w:rsid w:val="00BC57A6"/>
    <w:rsid w:val="00BC5B06"/>
    <w:rsid w:val="00BC6A2F"/>
    <w:rsid w:val="00BC6F63"/>
    <w:rsid w:val="00BC78E1"/>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3C9"/>
    <w:rsid w:val="00C024C9"/>
    <w:rsid w:val="00C024E3"/>
    <w:rsid w:val="00C02721"/>
    <w:rsid w:val="00C02B31"/>
    <w:rsid w:val="00C03142"/>
    <w:rsid w:val="00C035EB"/>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47E7"/>
    <w:rsid w:val="00C34DBD"/>
    <w:rsid w:val="00C36D19"/>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5D2"/>
    <w:rsid w:val="00C468AE"/>
    <w:rsid w:val="00C46D45"/>
    <w:rsid w:val="00C4704C"/>
    <w:rsid w:val="00C4726D"/>
    <w:rsid w:val="00C4734E"/>
    <w:rsid w:val="00C47574"/>
    <w:rsid w:val="00C50AA0"/>
    <w:rsid w:val="00C513AE"/>
    <w:rsid w:val="00C51831"/>
    <w:rsid w:val="00C526C1"/>
    <w:rsid w:val="00C52D2C"/>
    <w:rsid w:val="00C533E1"/>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67ADE"/>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6946"/>
    <w:rsid w:val="00C77076"/>
    <w:rsid w:val="00C7749D"/>
    <w:rsid w:val="00C778E1"/>
    <w:rsid w:val="00C829E5"/>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4BC0"/>
    <w:rsid w:val="00CA51A6"/>
    <w:rsid w:val="00CA5694"/>
    <w:rsid w:val="00CA5A12"/>
    <w:rsid w:val="00CA6D7D"/>
    <w:rsid w:val="00CA6EF1"/>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E85"/>
    <w:rsid w:val="00CC2FF9"/>
    <w:rsid w:val="00CC47EC"/>
    <w:rsid w:val="00CC4991"/>
    <w:rsid w:val="00CC4B36"/>
    <w:rsid w:val="00CC602F"/>
    <w:rsid w:val="00CC6A84"/>
    <w:rsid w:val="00CC7A7A"/>
    <w:rsid w:val="00CD034B"/>
    <w:rsid w:val="00CD0979"/>
    <w:rsid w:val="00CD09FF"/>
    <w:rsid w:val="00CD0B28"/>
    <w:rsid w:val="00CD0BE6"/>
    <w:rsid w:val="00CD0CD1"/>
    <w:rsid w:val="00CD1688"/>
    <w:rsid w:val="00CD186A"/>
    <w:rsid w:val="00CD195E"/>
    <w:rsid w:val="00CD25B5"/>
    <w:rsid w:val="00CD2727"/>
    <w:rsid w:val="00CD2A43"/>
    <w:rsid w:val="00CD3D81"/>
    <w:rsid w:val="00CD4B4F"/>
    <w:rsid w:val="00CD4EEE"/>
    <w:rsid w:val="00CD7573"/>
    <w:rsid w:val="00CD773D"/>
    <w:rsid w:val="00CD7E32"/>
    <w:rsid w:val="00CE038A"/>
    <w:rsid w:val="00CE0661"/>
    <w:rsid w:val="00CE0A2B"/>
    <w:rsid w:val="00CE115C"/>
    <w:rsid w:val="00CE14FD"/>
    <w:rsid w:val="00CE17FA"/>
    <w:rsid w:val="00CE331D"/>
    <w:rsid w:val="00CE3338"/>
    <w:rsid w:val="00CE3662"/>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EB7"/>
    <w:rsid w:val="00D07FB2"/>
    <w:rsid w:val="00D10529"/>
    <w:rsid w:val="00D1111D"/>
    <w:rsid w:val="00D119D9"/>
    <w:rsid w:val="00D125C3"/>
    <w:rsid w:val="00D12A52"/>
    <w:rsid w:val="00D12E17"/>
    <w:rsid w:val="00D13290"/>
    <w:rsid w:val="00D1391B"/>
    <w:rsid w:val="00D13D6F"/>
    <w:rsid w:val="00D13F8B"/>
    <w:rsid w:val="00D148B1"/>
    <w:rsid w:val="00D15125"/>
    <w:rsid w:val="00D15468"/>
    <w:rsid w:val="00D1556C"/>
    <w:rsid w:val="00D157BF"/>
    <w:rsid w:val="00D17668"/>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167"/>
    <w:rsid w:val="00D40639"/>
    <w:rsid w:val="00D40A37"/>
    <w:rsid w:val="00D40EF8"/>
    <w:rsid w:val="00D41607"/>
    <w:rsid w:val="00D41B1C"/>
    <w:rsid w:val="00D4364A"/>
    <w:rsid w:val="00D44A5D"/>
    <w:rsid w:val="00D5291E"/>
    <w:rsid w:val="00D530BB"/>
    <w:rsid w:val="00D532B2"/>
    <w:rsid w:val="00D539DB"/>
    <w:rsid w:val="00D53C22"/>
    <w:rsid w:val="00D540C0"/>
    <w:rsid w:val="00D557CE"/>
    <w:rsid w:val="00D55863"/>
    <w:rsid w:val="00D5635F"/>
    <w:rsid w:val="00D565FA"/>
    <w:rsid w:val="00D601EB"/>
    <w:rsid w:val="00D609E8"/>
    <w:rsid w:val="00D61156"/>
    <w:rsid w:val="00D611AC"/>
    <w:rsid w:val="00D6194F"/>
    <w:rsid w:val="00D62703"/>
    <w:rsid w:val="00D62905"/>
    <w:rsid w:val="00D63619"/>
    <w:rsid w:val="00D63C0F"/>
    <w:rsid w:val="00D63D6C"/>
    <w:rsid w:val="00D64141"/>
    <w:rsid w:val="00D65A5D"/>
    <w:rsid w:val="00D66133"/>
    <w:rsid w:val="00D668A0"/>
    <w:rsid w:val="00D67043"/>
    <w:rsid w:val="00D67078"/>
    <w:rsid w:val="00D67485"/>
    <w:rsid w:val="00D7008E"/>
    <w:rsid w:val="00D70454"/>
    <w:rsid w:val="00D73353"/>
    <w:rsid w:val="00D73506"/>
    <w:rsid w:val="00D752A4"/>
    <w:rsid w:val="00D75B5A"/>
    <w:rsid w:val="00D75FBB"/>
    <w:rsid w:val="00D76CA5"/>
    <w:rsid w:val="00D8083A"/>
    <w:rsid w:val="00D81FFB"/>
    <w:rsid w:val="00D8342D"/>
    <w:rsid w:val="00D83F23"/>
    <w:rsid w:val="00D844CB"/>
    <w:rsid w:val="00D8479A"/>
    <w:rsid w:val="00D85434"/>
    <w:rsid w:val="00D857EA"/>
    <w:rsid w:val="00D85DE4"/>
    <w:rsid w:val="00D8614D"/>
    <w:rsid w:val="00D867C8"/>
    <w:rsid w:val="00D86902"/>
    <w:rsid w:val="00D86A78"/>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2CA1"/>
    <w:rsid w:val="00DA4159"/>
    <w:rsid w:val="00DA4A0D"/>
    <w:rsid w:val="00DA651B"/>
    <w:rsid w:val="00DA664E"/>
    <w:rsid w:val="00DA7136"/>
    <w:rsid w:val="00DA75A2"/>
    <w:rsid w:val="00DB07FB"/>
    <w:rsid w:val="00DB0B8F"/>
    <w:rsid w:val="00DB1161"/>
    <w:rsid w:val="00DB1E18"/>
    <w:rsid w:val="00DB2D2C"/>
    <w:rsid w:val="00DB2DB8"/>
    <w:rsid w:val="00DB403E"/>
    <w:rsid w:val="00DB4171"/>
    <w:rsid w:val="00DB44AC"/>
    <w:rsid w:val="00DB4DA0"/>
    <w:rsid w:val="00DB56D3"/>
    <w:rsid w:val="00DB585E"/>
    <w:rsid w:val="00DB6E93"/>
    <w:rsid w:val="00DB7100"/>
    <w:rsid w:val="00DB7116"/>
    <w:rsid w:val="00DC0970"/>
    <w:rsid w:val="00DC20D4"/>
    <w:rsid w:val="00DC25CF"/>
    <w:rsid w:val="00DC2A63"/>
    <w:rsid w:val="00DC30B6"/>
    <w:rsid w:val="00DC4B03"/>
    <w:rsid w:val="00DC5A9A"/>
    <w:rsid w:val="00DC626B"/>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3CF"/>
    <w:rsid w:val="00DD5DC1"/>
    <w:rsid w:val="00DD693C"/>
    <w:rsid w:val="00DD6E55"/>
    <w:rsid w:val="00DD773F"/>
    <w:rsid w:val="00DE005F"/>
    <w:rsid w:val="00DE00B7"/>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2FCE"/>
    <w:rsid w:val="00DF370E"/>
    <w:rsid w:val="00DF4E5C"/>
    <w:rsid w:val="00DF4F7B"/>
    <w:rsid w:val="00DF54D4"/>
    <w:rsid w:val="00DF5F11"/>
    <w:rsid w:val="00DF627B"/>
    <w:rsid w:val="00DF671E"/>
    <w:rsid w:val="00DF674C"/>
    <w:rsid w:val="00DF6DE6"/>
    <w:rsid w:val="00DF78EF"/>
    <w:rsid w:val="00DF7B52"/>
    <w:rsid w:val="00DF7CD8"/>
    <w:rsid w:val="00E0020C"/>
    <w:rsid w:val="00E018B7"/>
    <w:rsid w:val="00E0194E"/>
    <w:rsid w:val="00E03AFD"/>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514"/>
    <w:rsid w:val="00E173DF"/>
    <w:rsid w:val="00E20B9F"/>
    <w:rsid w:val="00E21222"/>
    <w:rsid w:val="00E22BFF"/>
    <w:rsid w:val="00E230D2"/>
    <w:rsid w:val="00E234EA"/>
    <w:rsid w:val="00E237F4"/>
    <w:rsid w:val="00E239C9"/>
    <w:rsid w:val="00E24384"/>
    <w:rsid w:val="00E25F15"/>
    <w:rsid w:val="00E2628C"/>
    <w:rsid w:val="00E26DAE"/>
    <w:rsid w:val="00E26F06"/>
    <w:rsid w:val="00E27A50"/>
    <w:rsid w:val="00E27A66"/>
    <w:rsid w:val="00E30469"/>
    <w:rsid w:val="00E30539"/>
    <w:rsid w:val="00E31066"/>
    <w:rsid w:val="00E31D61"/>
    <w:rsid w:val="00E34812"/>
    <w:rsid w:val="00E35461"/>
    <w:rsid w:val="00E35933"/>
    <w:rsid w:val="00E35E1C"/>
    <w:rsid w:val="00E36BD9"/>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59"/>
    <w:rsid w:val="00E640C5"/>
    <w:rsid w:val="00E648D9"/>
    <w:rsid w:val="00E65089"/>
    <w:rsid w:val="00E65AD6"/>
    <w:rsid w:val="00E65F94"/>
    <w:rsid w:val="00E66302"/>
    <w:rsid w:val="00E6752F"/>
    <w:rsid w:val="00E67F9B"/>
    <w:rsid w:val="00E70CA8"/>
    <w:rsid w:val="00E716FC"/>
    <w:rsid w:val="00E72104"/>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457"/>
    <w:rsid w:val="00E7669F"/>
    <w:rsid w:val="00E766A5"/>
    <w:rsid w:val="00E766F4"/>
    <w:rsid w:val="00E767AB"/>
    <w:rsid w:val="00E76EBD"/>
    <w:rsid w:val="00E7754F"/>
    <w:rsid w:val="00E77AFF"/>
    <w:rsid w:val="00E800D8"/>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C0F"/>
    <w:rsid w:val="00EA166C"/>
    <w:rsid w:val="00EA1BA9"/>
    <w:rsid w:val="00EA1CB4"/>
    <w:rsid w:val="00EA2FC9"/>
    <w:rsid w:val="00EA32AE"/>
    <w:rsid w:val="00EA3DA2"/>
    <w:rsid w:val="00EA3DBB"/>
    <w:rsid w:val="00EA4776"/>
    <w:rsid w:val="00EA4C8D"/>
    <w:rsid w:val="00EA4FC3"/>
    <w:rsid w:val="00EA535E"/>
    <w:rsid w:val="00EA5703"/>
    <w:rsid w:val="00EA6C98"/>
    <w:rsid w:val="00EB004A"/>
    <w:rsid w:val="00EB045D"/>
    <w:rsid w:val="00EB0D09"/>
    <w:rsid w:val="00EB143E"/>
    <w:rsid w:val="00EB1697"/>
    <w:rsid w:val="00EB20AC"/>
    <w:rsid w:val="00EB2E8C"/>
    <w:rsid w:val="00EB3416"/>
    <w:rsid w:val="00EB36E3"/>
    <w:rsid w:val="00EB515D"/>
    <w:rsid w:val="00EB5539"/>
    <w:rsid w:val="00EB5E54"/>
    <w:rsid w:val="00EB67B8"/>
    <w:rsid w:val="00EB7621"/>
    <w:rsid w:val="00EB79A7"/>
    <w:rsid w:val="00EC099D"/>
    <w:rsid w:val="00EC1A50"/>
    <w:rsid w:val="00EC2289"/>
    <w:rsid w:val="00EC2651"/>
    <w:rsid w:val="00EC2D84"/>
    <w:rsid w:val="00EC45EB"/>
    <w:rsid w:val="00EC5065"/>
    <w:rsid w:val="00EC5545"/>
    <w:rsid w:val="00EC5BD4"/>
    <w:rsid w:val="00EC6361"/>
    <w:rsid w:val="00EC665E"/>
    <w:rsid w:val="00EC66ED"/>
    <w:rsid w:val="00EC73A9"/>
    <w:rsid w:val="00EC73B0"/>
    <w:rsid w:val="00ED026B"/>
    <w:rsid w:val="00ED0BA9"/>
    <w:rsid w:val="00ED135A"/>
    <w:rsid w:val="00ED1C45"/>
    <w:rsid w:val="00ED23C1"/>
    <w:rsid w:val="00ED297B"/>
    <w:rsid w:val="00ED3169"/>
    <w:rsid w:val="00ED3D63"/>
    <w:rsid w:val="00ED4322"/>
    <w:rsid w:val="00ED508C"/>
    <w:rsid w:val="00ED6B73"/>
    <w:rsid w:val="00ED6F73"/>
    <w:rsid w:val="00ED792F"/>
    <w:rsid w:val="00ED7A29"/>
    <w:rsid w:val="00EE043B"/>
    <w:rsid w:val="00EE045F"/>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E78DA"/>
    <w:rsid w:val="00EF03D9"/>
    <w:rsid w:val="00EF083C"/>
    <w:rsid w:val="00EF096A"/>
    <w:rsid w:val="00EF318A"/>
    <w:rsid w:val="00EF31CA"/>
    <w:rsid w:val="00EF3546"/>
    <w:rsid w:val="00EF376A"/>
    <w:rsid w:val="00EF430F"/>
    <w:rsid w:val="00EF46C4"/>
    <w:rsid w:val="00EF5B39"/>
    <w:rsid w:val="00EF622B"/>
    <w:rsid w:val="00EF62A2"/>
    <w:rsid w:val="00EF6918"/>
    <w:rsid w:val="00EF77ED"/>
    <w:rsid w:val="00EF791E"/>
    <w:rsid w:val="00F00537"/>
    <w:rsid w:val="00F0054C"/>
    <w:rsid w:val="00F01820"/>
    <w:rsid w:val="00F01C82"/>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3AF3"/>
    <w:rsid w:val="00F14189"/>
    <w:rsid w:val="00F14C89"/>
    <w:rsid w:val="00F15357"/>
    <w:rsid w:val="00F156C5"/>
    <w:rsid w:val="00F165FC"/>
    <w:rsid w:val="00F17576"/>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4EA9"/>
    <w:rsid w:val="00F45327"/>
    <w:rsid w:val="00F458FF"/>
    <w:rsid w:val="00F464F7"/>
    <w:rsid w:val="00F500F4"/>
    <w:rsid w:val="00F50402"/>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8AA"/>
    <w:rsid w:val="00F73D16"/>
    <w:rsid w:val="00F73D39"/>
    <w:rsid w:val="00F742B1"/>
    <w:rsid w:val="00F75FEB"/>
    <w:rsid w:val="00F7625A"/>
    <w:rsid w:val="00F764FF"/>
    <w:rsid w:val="00F805B3"/>
    <w:rsid w:val="00F837B2"/>
    <w:rsid w:val="00F861EF"/>
    <w:rsid w:val="00F86626"/>
    <w:rsid w:val="00F86721"/>
    <w:rsid w:val="00F87D25"/>
    <w:rsid w:val="00F902F7"/>
    <w:rsid w:val="00F9054B"/>
    <w:rsid w:val="00F90DC5"/>
    <w:rsid w:val="00F91752"/>
    <w:rsid w:val="00F91DD8"/>
    <w:rsid w:val="00F91E39"/>
    <w:rsid w:val="00F92356"/>
    <w:rsid w:val="00F92650"/>
    <w:rsid w:val="00F92E78"/>
    <w:rsid w:val="00F9306D"/>
    <w:rsid w:val="00F93D7A"/>
    <w:rsid w:val="00F94AB8"/>
    <w:rsid w:val="00F95C0A"/>
    <w:rsid w:val="00F96C7C"/>
    <w:rsid w:val="00F96D1A"/>
    <w:rsid w:val="00F96F81"/>
    <w:rsid w:val="00F9741D"/>
    <w:rsid w:val="00F97515"/>
    <w:rsid w:val="00F979EB"/>
    <w:rsid w:val="00F97EE4"/>
    <w:rsid w:val="00FA11A0"/>
    <w:rsid w:val="00FA1ED7"/>
    <w:rsid w:val="00FA290E"/>
    <w:rsid w:val="00FA459A"/>
    <w:rsid w:val="00FA4A5E"/>
    <w:rsid w:val="00FA69B8"/>
    <w:rsid w:val="00FA70EB"/>
    <w:rsid w:val="00FA7761"/>
    <w:rsid w:val="00FA7C56"/>
    <w:rsid w:val="00FA7DB4"/>
    <w:rsid w:val="00FA7F18"/>
    <w:rsid w:val="00FB1108"/>
    <w:rsid w:val="00FB1370"/>
    <w:rsid w:val="00FB19D9"/>
    <w:rsid w:val="00FB29CA"/>
    <w:rsid w:val="00FB3888"/>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629"/>
    <w:rsid w:val="00FC6809"/>
    <w:rsid w:val="00FC7B20"/>
    <w:rsid w:val="00FD0105"/>
    <w:rsid w:val="00FD0ABD"/>
    <w:rsid w:val="00FD0B04"/>
    <w:rsid w:val="00FD10DE"/>
    <w:rsid w:val="00FD1E69"/>
    <w:rsid w:val="00FD28F9"/>
    <w:rsid w:val="00FD2C59"/>
    <w:rsid w:val="00FD2CC7"/>
    <w:rsid w:val="00FD2EAD"/>
    <w:rsid w:val="00FD341D"/>
    <w:rsid w:val="00FD3B8C"/>
    <w:rsid w:val="00FD469E"/>
    <w:rsid w:val="00FD4AAC"/>
    <w:rsid w:val="00FD52A0"/>
    <w:rsid w:val="00FD52BE"/>
    <w:rsid w:val="00FD53EB"/>
    <w:rsid w:val="00FD75DD"/>
    <w:rsid w:val="00FD7E28"/>
    <w:rsid w:val="00FE044B"/>
    <w:rsid w:val="00FE0555"/>
    <w:rsid w:val="00FE0EA1"/>
    <w:rsid w:val="00FE1092"/>
    <w:rsid w:val="00FE1A34"/>
    <w:rsid w:val="00FE1A61"/>
    <w:rsid w:val="00FE1DE1"/>
    <w:rsid w:val="00FE2220"/>
    <w:rsid w:val="00FE2628"/>
    <w:rsid w:val="00FE34B0"/>
    <w:rsid w:val="00FE3963"/>
    <w:rsid w:val="00FE4CD0"/>
    <w:rsid w:val="00FE5144"/>
    <w:rsid w:val="00FE58B6"/>
    <w:rsid w:val="00FE5E8B"/>
    <w:rsid w:val="00FE61A1"/>
    <w:rsid w:val="00FE687C"/>
    <w:rsid w:val="00FE761D"/>
    <w:rsid w:val="00FE7635"/>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742A92"/>
  <w15:docId w15:val="{C8A0A659-AAAF-4E39-A16B-AC5EF0FCF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306844"/>
    <w:pPr>
      <w:overflowPunct/>
      <w:adjustRightInd/>
      <w:spacing w:after="200" w:line="228" w:lineRule="auto"/>
      <w:ind w:firstLine="288"/>
      <w:textAlignment w:val="auto"/>
    </w:pPr>
    <w:rPr>
      <w:rFonts w:eastAsia="Batang"/>
      <w:i/>
      <w:iCs/>
      <w:color w:val="1F497D"/>
      <w:sz w:val="18"/>
      <w:szCs w:val="18"/>
      <w:lang w:val="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306844"/>
    <w:rPr>
      <w:rFonts w:eastAsia="Batang"/>
      <w:i/>
      <w:iCs/>
      <w:color w:val="1F497D"/>
      <w:sz w:val="18"/>
      <w:szCs w:val="18"/>
    </w:rPr>
  </w:style>
  <w:style w:type="paragraph" w:styleId="ListParagraph">
    <w:name w:val="List Paragraph"/>
    <w:basedOn w:val="Normal"/>
    <w:uiPriority w:val="34"/>
    <w:qFormat/>
    <w:rsid w:val="00750310"/>
    <w:pPr>
      <w:ind w:left="720"/>
      <w:contextualSpacing/>
    </w:pPr>
  </w:style>
  <w:style w:type="character" w:styleId="PlaceholderText">
    <w:name w:val="Placeholder Text"/>
    <w:basedOn w:val="DefaultParagraphFont"/>
    <w:uiPriority w:val="99"/>
    <w:semiHidden/>
    <w:rsid w:val="00750310"/>
    <w:rPr>
      <w:color w:val="808080"/>
    </w:rPr>
  </w:style>
  <w:style w:type="paragraph" w:customStyle="1" w:styleId="tablehead">
    <w:name w:val="table head"/>
    <w:rsid w:val="00BC78E1"/>
    <w:pPr>
      <w:numPr>
        <w:numId w:val="18"/>
      </w:numPr>
      <w:spacing w:before="240" w:after="120" w:line="216" w:lineRule="auto"/>
      <w:jc w:val="center"/>
    </w:pPr>
    <w:rPr>
      <w:rFonts w:eastAsia="SimSun"/>
      <w:smallCaps/>
      <w:noProof/>
      <w:sz w:val="16"/>
      <w:szCs w:val="16"/>
    </w:rPr>
  </w:style>
  <w:style w:type="paragraph" w:customStyle="1" w:styleId="maintext">
    <w:name w:val="main text"/>
    <w:basedOn w:val="Normal"/>
    <w:link w:val="maintextChar"/>
    <w:qFormat/>
    <w:rsid w:val="00BC78E1"/>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BC78E1"/>
    <w:rPr>
      <w:rFonts w:eastAsia="Malgun Gothic" w:cs="Batang"/>
      <w:lang w:val="en-GB" w:eastAsia="ko-KR"/>
    </w:rPr>
  </w:style>
  <w:style w:type="table" w:customStyle="1" w:styleId="ListTable6Colorful1">
    <w:name w:val="List Table 6 Colorful1"/>
    <w:basedOn w:val="TableNormal"/>
    <w:uiPriority w:val="51"/>
    <w:rsid w:val="00BC78E1"/>
    <w:rPr>
      <w:rFonts w:asciiTheme="minorHAnsi" w:eastAsiaTheme="minorEastAsia" w:hAnsiTheme="minorHAnsi" w:cstheme="minorBidi"/>
      <w:color w:val="000000" w:themeColor="text1"/>
      <w:kern w:val="2"/>
      <w:szCs w:val="22"/>
      <w:lang w:eastAsia="ko-K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2D25A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27043-E862-4084-ACB6-5AE260A98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2507</Words>
  <Characters>14293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Eko Onggosanusi</cp:lastModifiedBy>
  <cp:revision>8</cp:revision>
  <cp:lastPrinted>2014-08-13T22:20:00Z</cp:lastPrinted>
  <dcterms:created xsi:type="dcterms:W3CDTF">2022-03-10T07:34:00Z</dcterms:created>
  <dcterms:modified xsi:type="dcterms:W3CDTF">2022-03-14T01:52:00Z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1646816782</vt:lpwstr>
  </property>
</Properties>
</file>